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D5F0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AD5F0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D5F0C">
              <w:trPr>
                <w:trHeight w:val="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</w:tr>
            <w:tr w:rsidR="00AD5F0C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D5F0C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D5F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AD5F0C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Default="005E2197" w:rsidP="00DF026C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на </w:t>
                        </w:r>
                        <w:r w:rsidR="00C4548F">
                          <w:rPr>
                            <w:color w:val="000000"/>
                          </w:rPr>
                          <w:t>1</w:t>
                        </w:r>
                        <w:r w:rsidR="007D40E0">
                          <w:rPr>
                            <w:color w:val="000000"/>
                          </w:rPr>
                          <w:t xml:space="preserve"> </w:t>
                        </w:r>
                        <w:r w:rsidR="00DF026C">
                          <w:rPr>
                            <w:color w:val="000000"/>
                          </w:rPr>
                          <w:t>января 2020</w:t>
                        </w:r>
                        <w:r w:rsidR="007D40E0"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DF026C" w:rsidP="001A13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01.01.2020</w:t>
                  </w:r>
                </w:p>
              </w:tc>
            </w:tr>
            <w:tr w:rsidR="00AD5F0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48594983</w:t>
                  </w:r>
                </w:p>
              </w:tc>
            </w:tr>
            <w:tr w:rsidR="00AD5F0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7D40E0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Государственное казенное учреждение социального обслуживания «Георгиевский социально-реабилитационный центр для несовершеннолетних «Аист»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</w:t>
                  </w:r>
                </w:p>
              </w:tc>
            </w:tr>
            <w:tr w:rsidR="00AD5F0C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Собственный бюджет Ставропольского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AD5F0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Default="007D40E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07000000</w:t>
                        </w:r>
                      </w:p>
                    </w:tc>
                  </w:tr>
                </w:tbl>
                <w:p w:rsidR="00AD5F0C" w:rsidRDefault="00AD5F0C">
                  <w:pPr>
                    <w:spacing w:line="1" w:lineRule="auto"/>
                  </w:pPr>
                </w:p>
              </w:tc>
            </w:tr>
            <w:tr w:rsidR="00AD5F0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D5F0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Default="007D40E0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spacing w:line="1" w:lineRule="auto"/>
                    <w:jc w:val="center"/>
                  </w:pPr>
                </w:p>
              </w:tc>
            </w:tr>
            <w:tr w:rsidR="00AD5F0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AD5F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D5F0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Default="007D40E0">
                        <w:r>
                          <w:rPr>
                            <w:color w:val="000000"/>
                          </w:rPr>
                          <w:t>Единица измерения: руб</w:t>
                        </w:r>
                        <w:r w:rsidR="00370F9C"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Default="007D40E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D5F0C" w:rsidRDefault="00AD5F0C">
            <w:pPr>
              <w:spacing w:line="1" w:lineRule="auto"/>
            </w:pPr>
          </w:p>
        </w:tc>
      </w:tr>
    </w:tbl>
    <w:p w:rsidR="00AD5F0C" w:rsidRDefault="00AD5F0C">
      <w:pPr>
        <w:rPr>
          <w:vanish/>
        </w:rPr>
      </w:pPr>
      <w:bookmarkStart w:id="1" w:name="__bookmark_2"/>
      <w:bookmarkEnd w:id="1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D5F0C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AD5F0C">
            <w:pPr>
              <w:spacing w:line="1" w:lineRule="auto"/>
              <w:jc w:val="center"/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7D40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D5F0C" w:rsidRDefault="00AD5F0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AD5F0C">
            <w:pPr>
              <w:spacing w:line="1" w:lineRule="auto"/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7D40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46DA1" w:rsidRDefault="000952E1" w:rsidP="00346D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DC3141">
              <w:rPr>
                <w:color w:val="000000"/>
                <w:sz w:val="28"/>
                <w:szCs w:val="28"/>
              </w:rPr>
              <w:t>Полное наименование: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40E0" w:rsidRPr="000952E1">
              <w:rPr>
                <w:color w:val="000000"/>
                <w:sz w:val="28"/>
                <w:szCs w:val="28"/>
              </w:rPr>
              <w:t>Государственное казенное учреждение социального обслуживания    "Георгиевский социально-реабилитационный центр для несовершеннолетних "Аист" (далее - Учреждение)</w:t>
            </w:r>
            <w:r w:rsidRPr="000952E1">
              <w:rPr>
                <w:color w:val="000000"/>
                <w:sz w:val="28"/>
                <w:szCs w:val="28"/>
              </w:rPr>
              <w:t>. Сокращенное наименование: ГКУСО «Георгиевский СРЦН «Аист».</w:t>
            </w:r>
            <w:r w:rsidR="007D40E0" w:rsidRPr="000952E1">
              <w:rPr>
                <w:color w:val="000000"/>
                <w:sz w:val="28"/>
                <w:szCs w:val="28"/>
              </w:rPr>
              <w:t xml:space="preserve"> </w:t>
            </w:r>
            <w:r w:rsidR="007B495F">
              <w:rPr>
                <w:color w:val="000000"/>
                <w:sz w:val="28"/>
                <w:szCs w:val="28"/>
              </w:rPr>
              <w:t>С</w:t>
            </w:r>
            <w:r w:rsidR="007D40E0" w:rsidRPr="000952E1">
              <w:rPr>
                <w:color w:val="000000"/>
                <w:sz w:val="28"/>
                <w:szCs w:val="28"/>
              </w:rPr>
              <w:t>оздано в соответствии с постановлением Правительства Ставропольского края от 17 ноября 2010 г № 379-п «Об изменении типа бюджетных учреждений Ставропольского края в целях создания казенных учреждений Ставропольского края, а также изменения типа казенных учреждений Ставропольского края в целях создания бюджетных учреждений Ставропольского края» путем изменения типа государственного учреждения социального обслуживания «Георгиевский социально-реабилитационный центр для несовершеннолетних «Аист».</w:t>
            </w:r>
            <w:r w:rsidR="00096920" w:rsidRPr="000952E1">
              <w:rPr>
                <w:color w:val="000000"/>
                <w:sz w:val="28"/>
                <w:szCs w:val="28"/>
              </w:rPr>
              <w:t xml:space="preserve"> Учреждение образовано как муниципальное учреждение «Георгиевский социальный приют для детей и подростков» на основании постановления главы администрации города Георгиевска и Георгиевского района Ставропольского края от 28.11.95 г. № 984 «О создании в г. Георгиевске муниципального социального приюта для детей и подростков». Учредителем Учреждения является Ставропольский край и находится оно в ведении министерства социального развития и занятости населения Ставропольског</w:t>
            </w:r>
            <w:r w:rsidR="00096920">
              <w:rPr>
                <w:color w:val="000000"/>
                <w:sz w:val="28"/>
                <w:szCs w:val="28"/>
              </w:rPr>
              <w:t xml:space="preserve">о края (далее – Учредитель). </w:t>
            </w:r>
          </w:p>
          <w:p w:rsidR="00346DA1" w:rsidRDefault="005A7136" w:rsidP="00346D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Юридический и фактический адрес:</w:t>
            </w:r>
            <w:r w:rsidRPr="000952E1">
              <w:rPr>
                <w:color w:val="000000"/>
                <w:sz w:val="28"/>
                <w:szCs w:val="28"/>
              </w:rPr>
              <w:t xml:space="preserve"> 357826, Российская Федерация, Ставропольский край, г. Георгиевск, ул. Воровского, 17; ИНН</w:t>
            </w:r>
            <w:r w:rsidR="00A75F1D">
              <w:rPr>
                <w:color w:val="000000"/>
                <w:sz w:val="28"/>
                <w:szCs w:val="28"/>
              </w:rPr>
              <w:t xml:space="preserve"> 2625023527; КПП </w:t>
            </w:r>
            <w:r w:rsidRPr="000952E1">
              <w:rPr>
                <w:color w:val="000000"/>
                <w:sz w:val="28"/>
                <w:szCs w:val="28"/>
              </w:rPr>
              <w:t>262501001</w:t>
            </w:r>
            <w:r w:rsidR="00A75F1D">
              <w:rPr>
                <w:color w:val="000000"/>
                <w:sz w:val="28"/>
                <w:szCs w:val="28"/>
              </w:rPr>
              <w:t xml:space="preserve">; ОГРН </w:t>
            </w:r>
            <w:r w:rsidR="00A75F1D" w:rsidRPr="00A75F1D">
              <w:rPr>
                <w:color w:val="000000"/>
                <w:sz w:val="28"/>
                <w:szCs w:val="28"/>
              </w:rPr>
              <w:t>1022601170822</w:t>
            </w:r>
            <w:r w:rsidR="00A75F1D">
              <w:rPr>
                <w:color w:val="000000"/>
                <w:sz w:val="28"/>
                <w:szCs w:val="28"/>
              </w:rPr>
              <w:t xml:space="preserve">; </w:t>
            </w:r>
            <w:r w:rsidR="00705D95">
              <w:rPr>
                <w:color w:val="000000"/>
                <w:sz w:val="28"/>
                <w:szCs w:val="28"/>
              </w:rPr>
              <w:t xml:space="preserve">ОКПО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705D95" w:rsidRPr="00705D95">
              <w:rPr>
                <w:color w:val="000000"/>
                <w:sz w:val="28"/>
                <w:szCs w:val="28"/>
              </w:rPr>
              <w:t>48594983</w:t>
            </w:r>
            <w:r w:rsidR="00705D95">
              <w:rPr>
                <w:color w:val="000000"/>
                <w:sz w:val="28"/>
                <w:szCs w:val="28"/>
              </w:rPr>
              <w:t xml:space="preserve">; ОКТМО </w:t>
            </w:r>
            <w:r w:rsidR="00705D95" w:rsidRPr="00991395">
              <w:rPr>
                <w:rFonts w:cs="Arial"/>
                <w:sz w:val="28"/>
                <w:szCs w:val="28"/>
              </w:rPr>
              <w:t>07707000</w:t>
            </w:r>
            <w:r w:rsidR="00991395">
              <w:rPr>
                <w:color w:val="000000"/>
                <w:sz w:val="28"/>
                <w:szCs w:val="28"/>
              </w:rPr>
              <w:t xml:space="preserve">; организационно-правовая форма (ОКОПФ </w:t>
            </w:r>
            <w:r w:rsidR="00991395" w:rsidRPr="00991395">
              <w:rPr>
                <w:sz w:val="28"/>
                <w:szCs w:val="28"/>
              </w:rPr>
              <w:t>75204</w:t>
            </w:r>
            <w:r w:rsidR="00991395">
              <w:rPr>
                <w:sz w:val="28"/>
                <w:szCs w:val="28"/>
              </w:rPr>
              <w:t>)</w:t>
            </w:r>
            <w:r w:rsidR="00991395" w:rsidRPr="00991395">
              <w:rPr>
                <w:sz w:val="28"/>
                <w:szCs w:val="28"/>
              </w:rPr>
              <w:t xml:space="preserve"> - Государственные казенные учреждения субъектов Российской Федерации</w:t>
            </w:r>
            <w:r w:rsidR="005115EB">
              <w:rPr>
                <w:sz w:val="28"/>
                <w:szCs w:val="28"/>
              </w:rPr>
              <w:t>;</w:t>
            </w:r>
            <w:r w:rsidR="005115EB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="005115EB" w:rsidRPr="00594B03">
              <w:rPr>
                <w:bCs/>
                <w:sz w:val="28"/>
                <w:szCs w:val="28"/>
              </w:rPr>
              <w:lastRenderedPageBreak/>
              <w:t>ОКФС</w:t>
            </w:r>
            <w:r w:rsidR="005115EB" w:rsidRPr="00594B03">
              <w:rPr>
                <w:b/>
                <w:bCs/>
                <w:sz w:val="28"/>
                <w:szCs w:val="28"/>
              </w:rPr>
              <w:t xml:space="preserve"> </w:t>
            </w:r>
            <w:r w:rsidR="005115EB" w:rsidRPr="00594B03">
              <w:rPr>
                <w:sz w:val="28"/>
                <w:szCs w:val="28"/>
              </w:rPr>
              <w:t>13 - Собственность субъектов Российской Федерации;</w:t>
            </w:r>
            <w:r w:rsidR="00594B03" w:rsidRPr="00594B03">
              <w:rPr>
                <w:rFonts w:ascii="Helvetica" w:hAnsi="Helvetica"/>
                <w:b/>
                <w:bCs/>
                <w:sz w:val="21"/>
                <w:szCs w:val="21"/>
              </w:rPr>
              <w:t xml:space="preserve"> </w:t>
            </w:r>
            <w:r w:rsidR="00594B03" w:rsidRPr="00594B03">
              <w:rPr>
                <w:bCs/>
                <w:sz w:val="28"/>
                <w:szCs w:val="28"/>
              </w:rPr>
              <w:t>ОКОГУ</w:t>
            </w:r>
            <w:r w:rsidR="00594B03" w:rsidRPr="00594B03">
              <w:rPr>
                <w:sz w:val="28"/>
                <w:szCs w:val="28"/>
              </w:rPr>
              <w:t xml:space="preserve"> 2300220 - Органы исполнительной власти субъектов Российской Федерации, осуществляющие функции в области труда и социальных вопросов</w:t>
            </w:r>
            <w:r w:rsidR="00594B03">
              <w:rPr>
                <w:sz w:val="28"/>
                <w:szCs w:val="28"/>
              </w:rPr>
              <w:t>;</w:t>
            </w:r>
            <w:r w:rsidR="00CA0182">
              <w:rPr>
                <w:sz w:val="28"/>
                <w:szCs w:val="28"/>
              </w:rPr>
              <w:t xml:space="preserve"> код главы главного распорядителя бюджетных средств 148.</w:t>
            </w:r>
            <w:r w:rsidR="00705D95">
              <w:rPr>
                <w:color w:val="000000"/>
                <w:sz w:val="28"/>
                <w:szCs w:val="28"/>
              </w:rPr>
              <w:t xml:space="preserve">      </w:t>
            </w:r>
          </w:p>
          <w:p w:rsidR="00097864" w:rsidRDefault="007D40E0" w:rsidP="00346DA1">
            <w:pPr>
              <w:jc w:val="both"/>
              <w:rPr>
                <w:color w:val="000000"/>
                <w:sz w:val="28"/>
                <w:szCs w:val="28"/>
              </w:rPr>
            </w:pPr>
            <w:r w:rsidRPr="000952E1">
              <w:rPr>
                <w:color w:val="000000"/>
                <w:sz w:val="28"/>
                <w:szCs w:val="28"/>
              </w:rPr>
              <w:t xml:space="preserve"> </w:t>
            </w:r>
            <w:r w:rsidR="00097864">
              <w:rPr>
                <w:color w:val="000000"/>
                <w:sz w:val="28"/>
                <w:szCs w:val="28"/>
              </w:rPr>
              <w:t xml:space="preserve">        </w:t>
            </w:r>
            <w:r w:rsidRPr="000952E1">
              <w:rPr>
                <w:color w:val="000000"/>
                <w:sz w:val="28"/>
                <w:szCs w:val="28"/>
              </w:rPr>
              <w:t xml:space="preserve">Учреждение вправе осуществлять свою деятельность в пределах, определяемых законодательством Российской Федерации </w:t>
            </w:r>
            <w:r w:rsidR="00FC6F4D">
              <w:rPr>
                <w:color w:val="000000"/>
                <w:sz w:val="28"/>
                <w:szCs w:val="28"/>
              </w:rPr>
              <w:t>и Ставропольского края;</w:t>
            </w:r>
            <w:r w:rsidR="00384C30" w:rsidRPr="000952E1">
              <w:rPr>
                <w:color w:val="000000"/>
                <w:sz w:val="28"/>
                <w:szCs w:val="28"/>
              </w:rPr>
              <w:t xml:space="preserve"> руководствуется Конституцией Российской Федерации, федеральными конституционными законами, федеральными законами, международными правовыми актами, в отношении которых Российская Федерация приняла обязательства, актами Президента Российской Федерации, Правительства Российской Федерации, постановлениями и распоряжениями Министерства здравоохранения и социального развития Российской Федерации, национальными стандартами социального обслуживания, нормативными правовыми актами Ставропольского края, приказами и распоря</w:t>
            </w:r>
            <w:r w:rsidR="00384C30">
              <w:rPr>
                <w:color w:val="000000"/>
                <w:sz w:val="28"/>
                <w:szCs w:val="28"/>
              </w:rPr>
              <w:t>жениями Учредителя,</w:t>
            </w:r>
            <w:r w:rsidR="00097864">
              <w:rPr>
                <w:color w:val="000000"/>
                <w:sz w:val="28"/>
                <w:szCs w:val="28"/>
              </w:rPr>
              <w:t xml:space="preserve"> Уставом</w:t>
            </w:r>
            <w:r w:rsidR="00384C30">
              <w:rPr>
                <w:color w:val="000000"/>
                <w:sz w:val="28"/>
                <w:szCs w:val="28"/>
              </w:rPr>
              <w:t xml:space="preserve"> учреждения</w:t>
            </w:r>
            <w:r w:rsidR="00097864">
              <w:rPr>
                <w:color w:val="000000"/>
                <w:sz w:val="28"/>
                <w:szCs w:val="28"/>
              </w:rPr>
              <w:t>, утвержденн</w:t>
            </w:r>
            <w:r w:rsidR="00177E43">
              <w:rPr>
                <w:color w:val="000000"/>
                <w:sz w:val="28"/>
                <w:szCs w:val="28"/>
              </w:rPr>
              <w:t>ым приказом министерства труда и социальной защиты населения Ставропольского края</w:t>
            </w:r>
            <w:r w:rsidR="00097864">
              <w:rPr>
                <w:color w:val="000000"/>
                <w:sz w:val="28"/>
                <w:szCs w:val="28"/>
              </w:rPr>
              <w:t>.</w:t>
            </w:r>
          </w:p>
          <w:p w:rsidR="00D46145" w:rsidRDefault="00E27E36" w:rsidP="00BA29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Учреждение является юридическим лицом и выполняет полномочия получателя средств краевого бюджета, имеет самостоятельный баланс</w:t>
            </w:r>
            <w:r w:rsidR="00BA29FF">
              <w:rPr>
                <w:color w:val="000000"/>
                <w:sz w:val="28"/>
                <w:szCs w:val="28"/>
              </w:rPr>
              <w:t>,</w:t>
            </w:r>
            <w:r w:rsidR="00BA29FF" w:rsidRPr="000952E1">
              <w:rPr>
                <w:color w:val="000000"/>
                <w:sz w:val="28"/>
                <w:szCs w:val="28"/>
              </w:rPr>
              <w:t xml:space="preserve"> лицевые счета</w:t>
            </w:r>
            <w:r w:rsidR="00123E51">
              <w:rPr>
                <w:color w:val="000000"/>
                <w:sz w:val="28"/>
                <w:szCs w:val="28"/>
              </w:rPr>
              <w:t xml:space="preserve">: </w:t>
            </w:r>
            <w:r w:rsidR="00123E51" w:rsidRPr="005B524E">
              <w:rPr>
                <w:color w:val="000000"/>
                <w:sz w:val="28"/>
                <w:szCs w:val="28"/>
              </w:rPr>
              <w:t>14</w:t>
            </w:r>
            <w:r w:rsidR="00123E51">
              <w:rPr>
                <w:color w:val="000000"/>
                <w:sz w:val="28"/>
                <w:szCs w:val="28"/>
              </w:rPr>
              <w:t xml:space="preserve">8.01.065.1 получателя бюджетных средств, </w:t>
            </w:r>
            <w:r w:rsidR="00123E51" w:rsidRPr="005B524E">
              <w:rPr>
                <w:color w:val="000000"/>
                <w:sz w:val="28"/>
                <w:szCs w:val="28"/>
              </w:rPr>
              <w:t>05212000230</w:t>
            </w:r>
            <w:r w:rsidR="00123E51">
              <w:rPr>
                <w:color w:val="000000"/>
                <w:sz w:val="28"/>
                <w:szCs w:val="28"/>
              </w:rPr>
              <w:t xml:space="preserve"> для отражений операций со средствами, поступившими во временное распоряжение получателя бюджетных средств</w:t>
            </w:r>
            <w:r w:rsidR="00BA29FF" w:rsidRPr="000952E1">
              <w:rPr>
                <w:color w:val="000000"/>
                <w:sz w:val="28"/>
                <w:szCs w:val="28"/>
              </w:rPr>
              <w:t>, круглую печать со своим наименованием на русском языке, печати, штампы, бланки со своим наименованием, зарегистрированную в установленном</w:t>
            </w:r>
            <w:r w:rsidR="00BA29FF">
              <w:rPr>
                <w:color w:val="000000"/>
                <w:sz w:val="28"/>
                <w:szCs w:val="28"/>
              </w:rPr>
              <w:t xml:space="preserve"> порядке фирменную символику. </w:t>
            </w:r>
            <w:r w:rsidR="00BA29FF" w:rsidRPr="000952E1">
              <w:rPr>
                <w:color w:val="000000"/>
                <w:sz w:val="28"/>
                <w:szCs w:val="28"/>
              </w:rPr>
              <w:t>В целях обеспечения уставной деятельности за Учреждением закреплено на праве оперативного управления государственное имущество Ставропольского края в порядке, установленном законодательством Российской Федерации и законодательством Ставропольского края</w:t>
            </w:r>
            <w:r w:rsidR="007A15D8">
              <w:rPr>
                <w:color w:val="000000"/>
                <w:sz w:val="28"/>
                <w:szCs w:val="28"/>
              </w:rPr>
              <w:t>.</w:t>
            </w:r>
            <w:r w:rsidR="00D46145" w:rsidRPr="000952E1">
              <w:rPr>
                <w:color w:val="000000"/>
                <w:sz w:val="28"/>
                <w:szCs w:val="28"/>
              </w:rPr>
              <w:t xml:space="preserve"> </w:t>
            </w:r>
          </w:p>
          <w:p w:rsidR="00BA29FF" w:rsidRDefault="00D46145" w:rsidP="00BA29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0952E1">
              <w:rPr>
                <w:color w:val="000000"/>
                <w:sz w:val="28"/>
                <w:szCs w:val="28"/>
              </w:rPr>
              <w:t>Учреждение несет ответственность в соответствии с законодательством РФ за нарушение обязательств; предоставляет Учредителю бюджетную отчетность; обеспечивает неприкосновенность и безопасность проживающих воспитанников; платит налоги и производит иные обязательные отчисления, предусмотренные законодательством РФ и СК; обеспечивает своевременно и в полном объеме выплату заработной платы работникам; осуществляет организацию и ведение бюджетного, налогового, статистического учета; не допускает нарушений бюджетного законодательства РФ, нецелевого использования средств бюджета СК;</w:t>
            </w:r>
            <w:r w:rsidR="004A2274" w:rsidRPr="000952E1">
              <w:rPr>
                <w:color w:val="000000"/>
                <w:sz w:val="28"/>
                <w:szCs w:val="28"/>
              </w:rPr>
              <w:t xml:space="preserve"> выполняет государственные мероприятия по гражданской обороне и мобилизационной подготовке</w:t>
            </w:r>
            <w:r w:rsidR="004A2274">
              <w:rPr>
                <w:color w:val="000000"/>
                <w:sz w:val="28"/>
                <w:szCs w:val="28"/>
              </w:rPr>
              <w:t>.</w:t>
            </w:r>
          </w:p>
          <w:p w:rsidR="008D6039" w:rsidRDefault="00BA29FF" w:rsidP="00641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0740E3" w:rsidRPr="000952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740E3" w:rsidRPr="000952E1">
              <w:rPr>
                <w:color w:val="000000"/>
                <w:sz w:val="28"/>
                <w:szCs w:val="28"/>
              </w:rPr>
              <w:t>Финансовое обеспечение деятельности Учреждения осуществляется на основании бюджетной сметы, утверждаемой Учредителем.</w:t>
            </w:r>
            <w:r w:rsidR="00607002">
              <w:rPr>
                <w:color w:val="000000"/>
                <w:sz w:val="28"/>
                <w:szCs w:val="28"/>
              </w:rPr>
              <w:t xml:space="preserve">   </w:t>
            </w:r>
          </w:p>
          <w:p w:rsidR="006415E0" w:rsidRDefault="001A37D9" w:rsidP="00641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4D4C2D">
              <w:rPr>
                <w:color w:val="000000"/>
                <w:sz w:val="28"/>
                <w:szCs w:val="28"/>
              </w:rPr>
              <w:t xml:space="preserve"> </w:t>
            </w:r>
            <w:r w:rsidR="00A559EE">
              <w:rPr>
                <w:color w:val="000000"/>
                <w:sz w:val="28"/>
                <w:szCs w:val="28"/>
              </w:rPr>
              <w:t>Сведения об основном виде деятельности</w:t>
            </w:r>
            <w:r w:rsidR="00002004">
              <w:rPr>
                <w:color w:val="000000"/>
                <w:sz w:val="28"/>
                <w:szCs w:val="28"/>
              </w:rPr>
              <w:t xml:space="preserve">: </w:t>
            </w:r>
            <w:r w:rsidR="00002004" w:rsidRPr="00705D95">
              <w:rPr>
                <w:color w:val="000000"/>
                <w:sz w:val="28"/>
                <w:szCs w:val="28"/>
              </w:rPr>
              <w:t xml:space="preserve">87.90 </w:t>
            </w:r>
            <w:r w:rsidR="00002004">
              <w:rPr>
                <w:color w:val="000000"/>
                <w:sz w:val="28"/>
                <w:szCs w:val="28"/>
              </w:rPr>
              <w:t xml:space="preserve">- </w:t>
            </w:r>
            <w:r w:rsidR="005647DF">
              <w:rPr>
                <w:color w:val="000000"/>
                <w:sz w:val="28"/>
                <w:szCs w:val="28"/>
              </w:rPr>
              <w:t>д</w:t>
            </w:r>
            <w:r w:rsidR="00002004" w:rsidRPr="00705D95">
              <w:rPr>
                <w:color w:val="000000"/>
                <w:sz w:val="28"/>
                <w:szCs w:val="28"/>
              </w:rPr>
              <w:t>еятельность по уходу с обеспечением проживания прочая</w:t>
            </w:r>
            <w:r w:rsidR="00A559EE">
              <w:rPr>
                <w:color w:val="000000"/>
                <w:sz w:val="28"/>
                <w:szCs w:val="28"/>
              </w:rPr>
              <w:t xml:space="preserve">. Сведения о дополнительных видах деятельности: </w:t>
            </w:r>
            <w:r w:rsidR="00A559EE" w:rsidRPr="00A559EE">
              <w:rPr>
                <w:sz w:val="28"/>
                <w:szCs w:val="28"/>
              </w:rPr>
              <w:t>49.39</w:t>
            </w:r>
            <w:r w:rsidR="005647DF">
              <w:rPr>
                <w:sz w:val="28"/>
                <w:szCs w:val="28"/>
              </w:rPr>
              <w:t xml:space="preserve"> - </w:t>
            </w:r>
            <w:r w:rsidR="00A559EE" w:rsidRPr="00A559EE">
              <w:rPr>
                <w:sz w:val="28"/>
                <w:szCs w:val="28"/>
              </w:rPr>
              <w:t>деятельность прочего сухопутного пассажирского транспорта, не включенная в другие группировки</w:t>
            </w:r>
            <w:r w:rsidR="005647DF">
              <w:rPr>
                <w:sz w:val="28"/>
                <w:szCs w:val="28"/>
              </w:rPr>
              <w:t xml:space="preserve">; 85.41.9 – образование </w:t>
            </w:r>
            <w:r w:rsidR="005647DF">
              <w:rPr>
                <w:sz w:val="28"/>
                <w:szCs w:val="28"/>
              </w:rPr>
              <w:lastRenderedPageBreak/>
              <w:t>дополнительное детей и взрослых прочее, не включенное в другие группировки.</w:t>
            </w:r>
            <w:r w:rsidR="00002004">
              <w:rPr>
                <w:color w:val="000000"/>
                <w:sz w:val="28"/>
                <w:szCs w:val="28"/>
              </w:rPr>
              <w:t xml:space="preserve"> </w:t>
            </w:r>
            <w:r w:rsidR="005647DF">
              <w:rPr>
                <w:color w:val="000000"/>
                <w:sz w:val="28"/>
                <w:szCs w:val="28"/>
              </w:rPr>
              <w:t>П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редметом деятельности Учреждения является социальное обслуживание граждан, признанных нуждающимися в социальном обслуживании вследствие существования следующих обстоятельств, которые ухудшают или могут ухудшить </w:t>
            </w:r>
            <w:r w:rsidR="00002004">
              <w:rPr>
                <w:color w:val="000000"/>
                <w:sz w:val="28"/>
                <w:szCs w:val="28"/>
              </w:rPr>
              <w:t>условия их жизнедеятельности: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</w:t>
            </w:r>
            <w:r w:rsidR="00002004">
              <w:rPr>
                <w:color w:val="000000"/>
                <w:sz w:val="28"/>
                <w:szCs w:val="28"/>
              </w:rPr>
              <w:t>ста или наличия инвалидности;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 наличие в семье инвалида или инвалидов, в том числе ребенка-инвалида или детей-инвалидов, нуждающихся в постоянном </w:t>
            </w:r>
            <w:r w:rsidR="00002004">
              <w:rPr>
                <w:color w:val="000000"/>
                <w:sz w:val="28"/>
                <w:szCs w:val="28"/>
              </w:rPr>
              <w:t>постороннем уходе;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наличие ребенка или детей (в том числе находящихся под опекой, попечительством), испытывающих трудн</w:t>
            </w:r>
            <w:r w:rsidR="00002004">
              <w:rPr>
                <w:color w:val="000000"/>
                <w:sz w:val="28"/>
                <w:szCs w:val="28"/>
              </w:rPr>
              <w:t>ости в социальной адаптации);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отсутствие возможности обеспечения ухода (в том числе временного) за инвалидом, ребенком, детьми, а также о</w:t>
            </w:r>
            <w:r w:rsidR="00002004">
              <w:rPr>
                <w:color w:val="000000"/>
                <w:sz w:val="28"/>
                <w:szCs w:val="28"/>
              </w:rPr>
              <w:t>тсутствие попечения над ними;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</w:t>
            </w:r>
            <w:r w:rsidR="00002004">
              <w:rPr>
                <w:color w:val="000000"/>
                <w:sz w:val="28"/>
                <w:szCs w:val="28"/>
              </w:rPr>
              <w:t>мье;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</w:t>
            </w:r>
            <w:r w:rsidR="00002004">
              <w:rPr>
                <w:color w:val="000000"/>
                <w:sz w:val="28"/>
                <w:szCs w:val="28"/>
              </w:rPr>
              <w:t>шихся без попечения родителей;</w:t>
            </w:r>
            <w:r w:rsidR="00002004" w:rsidRPr="000952E1">
              <w:rPr>
                <w:color w:val="000000"/>
                <w:sz w:val="28"/>
                <w:szCs w:val="28"/>
              </w:rPr>
              <w:t xml:space="preserve"> отсутствие работы и средств к существованию. Целью деятельности Учреждения является профилактика безнадзорности и беспризорности несовершеннолетних, социальная реабилитация несовершеннолетних с различными формами и степенью </w:t>
            </w:r>
            <w:proofErr w:type="spellStart"/>
            <w:r w:rsidR="00002004" w:rsidRPr="000952E1">
              <w:rPr>
                <w:color w:val="000000"/>
                <w:sz w:val="28"/>
                <w:szCs w:val="28"/>
              </w:rPr>
              <w:t>дезадаптации</w:t>
            </w:r>
            <w:proofErr w:type="spellEnd"/>
            <w:r w:rsidR="00002004" w:rsidRPr="000952E1">
              <w:rPr>
                <w:color w:val="000000"/>
                <w:sz w:val="28"/>
                <w:szCs w:val="28"/>
              </w:rPr>
              <w:t xml:space="preserve">, улучшение условий жизнедеятельности гражданина и (или) расширение его возможностей самостоятельно обеспечивать свои основные жизненные потребности. Основными видами деятельности Учреждении являются: 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 в форме социального обслуживания на дому, в полустационарной и стационарной формах социального обслуживания; 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 Предоставление срочных социальных услуг; Оказание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 Организация отдыха и оздоровления детей, находящихся </w:t>
            </w:r>
            <w:r w:rsidR="00002004">
              <w:rPr>
                <w:color w:val="000000"/>
                <w:sz w:val="28"/>
                <w:szCs w:val="28"/>
              </w:rPr>
              <w:t>в трудной жизненной ситуации.</w:t>
            </w:r>
          </w:p>
          <w:p w:rsidR="006415E0" w:rsidRDefault="006415E0" w:rsidP="00641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Бюджетные полномочия в отчетном периоде в учреждении не изменились.</w:t>
            </w:r>
          </w:p>
          <w:p w:rsidR="006415E0" w:rsidRDefault="006415E0" w:rsidP="006415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Подведомственных учреждений, предприятий и обособленных подразделений не имеет.</w:t>
            </w:r>
          </w:p>
          <w:p w:rsidR="00096920" w:rsidRDefault="00096920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7E36" w:rsidRDefault="00E27E36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7E36" w:rsidRDefault="00E27E36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7E36" w:rsidRDefault="00E27E36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27E36" w:rsidRDefault="00E27E36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97864" w:rsidRDefault="00097864" w:rsidP="00346DA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5F0C" w:rsidRPr="000952E1" w:rsidRDefault="00AD5F0C" w:rsidP="00ED50E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AD5F0C">
            <w:pPr>
              <w:spacing w:line="1" w:lineRule="auto"/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7D40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C14285" w:rsidP="00223B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7D40E0">
              <w:rPr>
                <w:color w:val="000000"/>
                <w:sz w:val="28"/>
                <w:szCs w:val="28"/>
              </w:rPr>
              <w:t xml:space="preserve"> Стационарное отделение учреждения рассчитано на 30 койко-мест. Помимо ухода проводятся мероприятия по социальной адаптации и реабилитации обслуживаемых воспитанников. Развиты такие направления как трудотерапия, занятия творчеством, спортом.  План койко-дней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876AE">
              <w:rPr>
                <w:color w:val="000000"/>
                <w:sz w:val="28"/>
                <w:szCs w:val="28"/>
              </w:rPr>
              <w:t>–</w:t>
            </w:r>
            <w:r w:rsidR="007D40E0">
              <w:rPr>
                <w:color w:val="000000"/>
                <w:sz w:val="28"/>
                <w:szCs w:val="28"/>
              </w:rPr>
              <w:t xml:space="preserve"> </w:t>
            </w:r>
            <w:r w:rsidR="00871E37">
              <w:rPr>
                <w:color w:val="000000"/>
                <w:sz w:val="28"/>
                <w:szCs w:val="28"/>
              </w:rPr>
              <w:t>8 258</w:t>
            </w:r>
            <w:r>
              <w:rPr>
                <w:color w:val="000000"/>
                <w:sz w:val="28"/>
                <w:szCs w:val="28"/>
              </w:rPr>
              <w:t>, факти</w:t>
            </w:r>
            <w:r w:rsidR="004876AE">
              <w:rPr>
                <w:color w:val="000000"/>
                <w:sz w:val="28"/>
                <w:szCs w:val="28"/>
              </w:rPr>
              <w:t>ч</w:t>
            </w:r>
            <w:r w:rsidR="00871E37">
              <w:rPr>
                <w:color w:val="000000"/>
                <w:sz w:val="28"/>
                <w:szCs w:val="28"/>
              </w:rPr>
              <w:t>еское выполнение составило 9 311 койко-дней - 113%, проба – 365</w:t>
            </w:r>
            <w:r w:rsidR="004876AE">
              <w:rPr>
                <w:color w:val="000000"/>
                <w:sz w:val="28"/>
                <w:szCs w:val="28"/>
              </w:rPr>
              <w:t>.</w:t>
            </w:r>
            <w:r w:rsidR="007D40E0">
              <w:rPr>
                <w:color w:val="000000"/>
                <w:sz w:val="28"/>
                <w:szCs w:val="28"/>
              </w:rPr>
              <w:t xml:space="preserve">  Плановая стоимость питания на одного проживающего в </w:t>
            </w:r>
            <w:r w:rsidR="0098314D">
              <w:rPr>
                <w:color w:val="000000"/>
                <w:sz w:val="28"/>
                <w:szCs w:val="28"/>
              </w:rPr>
              <w:t>день запланирована в сумме 255,16</w:t>
            </w:r>
            <w:r w:rsidR="007D40E0">
              <w:rPr>
                <w:color w:val="000000"/>
                <w:sz w:val="28"/>
                <w:szCs w:val="28"/>
              </w:rPr>
              <w:t xml:space="preserve"> рубле</w:t>
            </w:r>
            <w:r w:rsidR="004876AE">
              <w:rPr>
                <w:color w:val="000000"/>
                <w:sz w:val="28"/>
                <w:szCs w:val="28"/>
              </w:rPr>
              <w:t xml:space="preserve">й, фактическая стоимость </w:t>
            </w:r>
            <w:r w:rsidR="00871E37">
              <w:rPr>
                <w:color w:val="000000"/>
                <w:sz w:val="28"/>
                <w:szCs w:val="28"/>
              </w:rPr>
              <w:t>206,32</w:t>
            </w:r>
            <w:r w:rsidR="00D85164">
              <w:rPr>
                <w:color w:val="000000"/>
                <w:sz w:val="28"/>
                <w:szCs w:val="28"/>
              </w:rPr>
              <w:t xml:space="preserve"> руб.</w:t>
            </w:r>
            <w:r w:rsidR="004F5AFF">
              <w:rPr>
                <w:color w:val="000000"/>
                <w:sz w:val="28"/>
                <w:szCs w:val="28"/>
              </w:rPr>
              <w:t>, что составило 8</w:t>
            </w:r>
            <w:r w:rsidR="00871E37">
              <w:rPr>
                <w:color w:val="000000"/>
                <w:sz w:val="28"/>
                <w:szCs w:val="28"/>
              </w:rPr>
              <w:t>1</w:t>
            </w:r>
            <w:r w:rsidR="00971EBD">
              <w:rPr>
                <w:color w:val="000000"/>
                <w:sz w:val="28"/>
                <w:szCs w:val="28"/>
              </w:rPr>
              <w:t xml:space="preserve"> </w:t>
            </w:r>
            <w:r w:rsidR="007D40E0">
              <w:rPr>
                <w:color w:val="000000"/>
                <w:sz w:val="28"/>
                <w:szCs w:val="28"/>
              </w:rPr>
              <w:t>%. На невыполнение контрольных показателей повлияли следующие факторы:</w:t>
            </w:r>
            <w:r w:rsidR="0051530C">
              <w:rPr>
                <w:color w:val="000000"/>
                <w:sz w:val="28"/>
                <w:szCs w:val="28"/>
              </w:rPr>
              <w:t xml:space="preserve"> на 01 января 2019 оставались остатки на складе, </w:t>
            </w:r>
            <w:r w:rsidR="00223B2C">
              <w:rPr>
                <w:color w:val="000000"/>
                <w:sz w:val="28"/>
                <w:szCs w:val="28"/>
              </w:rPr>
              <w:t>а также проведение конкурентного способа закупки</w:t>
            </w:r>
            <w:r w:rsidR="0051530C">
              <w:rPr>
                <w:color w:val="000000"/>
                <w:sz w:val="28"/>
                <w:szCs w:val="28"/>
              </w:rPr>
              <w:t>. Стоимость медикаментов на одного проживающего в день по плану 4,67 рубля, фактическ</w:t>
            </w:r>
            <w:r w:rsidR="00FA2727">
              <w:rPr>
                <w:color w:val="000000"/>
                <w:sz w:val="28"/>
                <w:szCs w:val="28"/>
              </w:rPr>
              <w:t xml:space="preserve">и составила </w:t>
            </w:r>
            <w:r w:rsidR="00871E37">
              <w:rPr>
                <w:color w:val="000000"/>
                <w:sz w:val="28"/>
                <w:szCs w:val="28"/>
              </w:rPr>
              <w:t>3,98</w:t>
            </w:r>
            <w:r w:rsidR="0023133D">
              <w:rPr>
                <w:color w:val="000000"/>
                <w:sz w:val="28"/>
                <w:szCs w:val="28"/>
              </w:rPr>
              <w:t xml:space="preserve"> </w:t>
            </w:r>
            <w:r w:rsidR="00871E37">
              <w:rPr>
                <w:color w:val="000000"/>
                <w:sz w:val="28"/>
                <w:szCs w:val="28"/>
              </w:rPr>
              <w:t>рубля, это 85</w:t>
            </w:r>
            <w:r w:rsidR="0051530C">
              <w:rPr>
                <w:color w:val="000000"/>
                <w:sz w:val="28"/>
                <w:szCs w:val="28"/>
              </w:rPr>
              <w:t>%.</w:t>
            </w:r>
            <w:r w:rsidR="007D40E0">
              <w:rPr>
                <w:color w:val="000000"/>
                <w:sz w:val="28"/>
                <w:szCs w:val="28"/>
              </w:rPr>
              <w:t xml:space="preserve"> Штатная численность с учетом внесения </w:t>
            </w:r>
            <w:r w:rsidR="00C41B4C">
              <w:rPr>
                <w:color w:val="000000"/>
                <w:sz w:val="28"/>
                <w:szCs w:val="28"/>
              </w:rPr>
              <w:t>изменений по плану составляет 73,5</w:t>
            </w:r>
            <w:r w:rsidR="007D40E0">
              <w:rPr>
                <w:color w:val="000000"/>
                <w:sz w:val="28"/>
                <w:szCs w:val="28"/>
              </w:rPr>
              <w:t xml:space="preserve"> един</w:t>
            </w:r>
            <w:r w:rsidR="009D6596">
              <w:rPr>
                <w:color w:val="000000"/>
                <w:sz w:val="28"/>
                <w:szCs w:val="28"/>
              </w:rPr>
              <w:t>иц. Фактическая занятость – 70,50</w:t>
            </w:r>
            <w:r w:rsidR="007D40E0">
              <w:rPr>
                <w:color w:val="000000"/>
                <w:sz w:val="28"/>
                <w:szCs w:val="28"/>
              </w:rPr>
              <w:t xml:space="preserve"> ед</w:t>
            </w:r>
            <w:r w:rsidR="00DD4C3F">
              <w:rPr>
                <w:color w:val="000000"/>
                <w:sz w:val="28"/>
                <w:szCs w:val="28"/>
              </w:rPr>
              <w:t>иниц</w:t>
            </w:r>
            <w:r w:rsidR="007D40E0">
              <w:rPr>
                <w:color w:val="000000"/>
                <w:sz w:val="28"/>
                <w:szCs w:val="28"/>
              </w:rPr>
              <w:t>.</w:t>
            </w:r>
          </w:p>
          <w:p w:rsidR="00401BBE" w:rsidRDefault="00401BBE" w:rsidP="00E441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AD5F0C">
            <w:pPr>
              <w:spacing w:line="1" w:lineRule="auto"/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7D40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2429F" w:rsidRDefault="00E441A7" w:rsidP="00E67A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407129" w:rsidRPr="005B524E">
              <w:rPr>
                <w:color w:val="000000"/>
                <w:sz w:val="28"/>
                <w:szCs w:val="28"/>
              </w:rPr>
              <w:t xml:space="preserve"> </w:t>
            </w:r>
            <w:r w:rsidR="007D40E0" w:rsidRPr="005B524E">
              <w:rPr>
                <w:color w:val="000000"/>
                <w:sz w:val="28"/>
                <w:szCs w:val="28"/>
              </w:rPr>
              <w:t>Бухгалтерской службой Центра проведена работа по своевременному и целевому использованию денежных средств, поступающих на лицев</w:t>
            </w:r>
            <w:r w:rsidR="001B2F33" w:rsidRPr="005B524E">
              <w:rPr>
                <w:color w:val="000000"/>
                <w:sz w:val="28"/>
                <w:szCs w:val="28"/>
              </w:rPr>
              <w:t>ые счета.</w:t>
            </w:r>
            <w:r w:rsidR="00F43D0E">
              <w:rPr>
                <w:color w:val="000000"/>
                <w:sz w:val="28"/>
                <w:szCs w:val="28"/>
              </w:rPr>
              <w:t xml:space="preserve"> Лимиты бюджетных ассигнований, доведенные Учреждению на отчетный период израсходованы в полном объеме.</w:t>
            </w:r>
            <w:r w:rsidR="001B2F33" w:rsidRPr="005B52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Исполнение бюджетной сметы: утверждено с учетом</w:t>
            </w:r>
            <w:r w:rsidR="008029F0">
              <w:rPr>
                <w:color w:val="000000"/>
                <w:sz w:val="28"/>
                <w:szCs w:val="28"/>
              </w:rPr>
              <w:t xml:space="preserve"> и</w:t>
            </w:r>
            <w:r w:rsidR="00403FB0">
              <w:rPr>
                <w:color w:val="000000"/>
                <w:sz w:val="28"/>
                <w:szCs w:val="28"/>
              </w:rPr>
              <w:t>зменений на 2019 г 32 334 831,45</w:t>
            </w:r>
            <w:r>
              <w:rPr>
                <w:color w:val="000000"/>
                <w:sz w:val="28"/>
                <w:szCs w:val="28"/>
              </w:rPr>
              <w:t xml:space="preserve"> руб.; профинансирован</w:t>
            </w:r>
            <w:r w:rsidR="009A1773">
              <w:rPr>
                <w:color w:val="000000"/>
                <w:sz w:val="28"/>
                <w:szCs w:val="28"/>
              </w:rPr>
              <w:t xml:space="preserve">о за отчетный период </w:t>
            </w:r>
            <w:r w:rsidR="00E24AB9">
              <w:rPr>
                <w:color w:val="000000"/>
                <w:sz w:val="28"/>
                <w:szCs w:val="28"/>
              </w:rPr>
              <w:t>32 054 759,45</w:t>
            </w:r>
            <w:r w:rsidR="00654844">
              <w:rPr>
                <w:color w:val="000000"/>
                <w:sz w:val="28"/>
                <w:szCs w:val="28"/>
              </w:rPr>
              <w:t xml:space="preserve"> руб.;</w:t>
            </w:r>
            <w:r>
              <w:rPr>
                <w:color w:val="000000"/>
                <w:sz w:val="28"/>
                <w:szCs w:val="28"/>
              </w:rPr>
              <w:t xml:space="preserve"> кассовое</w:t>
            </w:r>
            <w:r w:rsidR="00E67A35">
              <w:rPr>
                <w:color w:val="000000"/>
                <w:sz w:val="28"/>
                <w:szCs w:val="28"/>
              </w:rPr>
              <w:t xml:space="preserve"> исполнение выполнено на 99</w:t>
            </w:r>
            <w:r>
              <w:rPr>
                <w:color w:val="000000"/>
                <w:sz w:val="28"/>
                <w:szCs w:val="28"/>
              </w:rPr>
              <w:t xml:space="preserve">%, за отчетный период составило </w:t>
            </w:r>
            <w:r w:rsidR="00E67A35">
              <w:rPr>
                <w:color w:val="000000"/>
                <w:sz w:val="28"/>
                <w:szCs w:val="28"/>
              </w:rPr>
              <w:t xml:space="preserve">32 330 806,94 </w:t>
            </w:r>
            <w:r w:rsidR="00654844">
              <w:rPr>
                <w:color w:val="000000"/>
                <w:sz w:val="28"/>
                <w:szCs w:val="28"/>
              </w:rPr>
              <w:t xml:space="preserve">руб. </w:t>
            </w:r>
            <w:r w:rsidR="00E24AB9">
              <w:rPr>
                <w:color w:val="000000"/>
                <w:sz w:val="28"/>
                <w:szCs w:val="28"/>
              </w:rPr>
              <w:t xml:space="preserve">Имеются остатки кассового плана, в сумме 4 024,51 руб. </w:t>
            </w:r>
            <w:r w:rsidR="00654844">
              <w:rPr>
                <w:color w:val="000000"/>
                <w:sz w:val="28"/>
                <w:szCs w:val="28"/>
              </w:rPr>
              <w:t>так, как учреждению были доведены лимиты бюджетных обязательств</w:t>
            </w:r>
            <w:r w:rsidR="00E24AB9">
              <w:rPr>
                <w:color w:val="000000"/>
                <w:sz w:val="28"/>
                <w:szCs w:val="28"/>
              </w:rPr>
              <w:t>, в сумме 280 072,00 руб.</w:t>
            </w:r>
            <w:r w:rsidR="00654844">
              <w:rPr>
                <w:color w:val="000000"/>
                <w:sz w:val="28"/>
                <w:szCs w:val="28"/>
              </w:rPr>
              <w:t xml:space="preserve"> по Фонду</w:t>
            </w:r>
            <w:r w:rsidR="00654844" w:rsidRPr="00654844">
              <w:rPr>
                <w:color w:val="000000"/>
                <w:sz w:val="28"/>
                <w:szCs w:val="28"/>
              </w:rPr>
              <w:t xml:space="preserve"> поддержки детей, находящихся в трудной жизненной </w:t>
            </w:r>
            <w:r w:rsidR="00654844" w:rsidRPr="00E24AB9">
              <w:rPr>
                <w:color w:val="000000" w:themeColor="text1"/>
                <w:sz w:val="28"/>
                <w:szCs w:val="28"/>
              </w:rPr>
              <w:t xml:space="preserve">ситуации, без </w:t>
            </w:r>
            <w:r w:rsidR="00E24AB9" w:rsidRPr="00E24AB9">
              <w:rPr>
                <w:color w:val="000000" w:themeColor="text1"/>
                <w:sz w:val="28"/>
                <w:szCs w:val="28"/>
              </w:rPr>
              <w:t xml:space="preserve">бюджетных ассигнований, предельные объемы финансирования </w:t>
            </w:r>
            <w:r w:rsidR="00654844" w:rsidRPr="00E24AB9">
              <w:rPr>
                <w:color w:val="000000" w:themeColor="text1"/>
                <w:sz w:val="28"/>
                <w:szCs w:val="28"/>
              </w:rPr>
              <w:t>учреждению</w:t>
            </w:r>
            <w:r w:rsidR="00654844" w:rsidRPr="00654844">
              <w:rPr>
                <w:color w:val="000000"/>
                <w:sz w:val="28"/>
                <w:szCs w:val="28"/>
              </w:rPr>
              <w:t xml:space="preserve"> доведены не были. </w:t>
            </w:r>
            <w:r w:rsidR="000C6DE3">
              <w:rPr>
                <w:color w:val="000000"/>
                <w:sz w:val="28"/>
                <w:szCs w:val="28"/>
              </w:rPr>
              <w:t>Остатки кассового плана сложились в связи с экономией, сложившейся</w:t>
            </w:r>
            <w:r w:rsidR="00654844" w:rsidRPr="00654844">
              <w:rPr>
                <w:color w:val="000000"/>
                <w:sz w:val="28"/>
                <w:szCs w:val="28"/>
              </w:rPr>
              <w:t xml:space="preserve"> за счет конкурентного способа закупки</w:t>
            </w:r>
            <w:r w:rsidR="000C6DE3">
              <w:rPr>
                <w:color w:val="000000"/>
                <w:sz w:val="28"/>
                <w:szCs w:val="28"/>
              </w:rPr>
              <w:t xml:space="preserve"> по Фонду</w:t>
            </w:r>
            <w:r w:rsidR="000C6DE3" w:rsidRPr="00654844">
              <w:rPr>
                <w:color w:val="000000"/>
                <w:sz w:val="28"/>
                <w:szCs w:val="28"/>
              </w:rPr>
              <w:t xml:space="preserve"> поддержки детей, находящихся в трудной жизненной </w:t>
            </w:r>
            <w:r w:rsidR="000C6DE3" w:rsidRPr="00E24AB9">
              <w:rPr>
                <w:color w:val="000000" w:themeColor="text1"/>
                <w:sz w:val="28"/>
                <w:szCs w:val="28"/>
              </w:rPr>
              <w:t>ситуации</w:t>
            </w:r>
            <w:r w:rsidR="00654844" w:rsidRPr="00654844">
              <w:rPr>
                <w:color w:val="000000"/>
                <w:sz w:val="28"/>
                <w:szCs w:val="28"/>
              </w:rPr>
              <w:t>.</w:t>
            </w:r>
            <w:r w:rsidR="008D3B5B">
              <w:rPr>
                <w:color w:val="000000"/>
                <w:sz w:val="28"/>
                <w:szCs w:val="28"/>
              </w:rPr>
              <w:t xml:space="preserve"> О</w:t>
            </w:r>
            <w:r w:rsidR="00E67A35">
              <w:rPr>
                <w:color w:val="000000"/>
                <w:sz w:val="28"/>
                <w:szCs w:val="28"/>
              </w:rPr>
              <w:t>статков предельных объемов финансирование</w:t>
            </w:r>
            <w:r>
              <w:rPr>
                <w:color w:val="000000"/>
                <w:sz w:val="28"/>
                <w:szCs w:val="28"/>
              </w:rPr>
              <w:t xml:space="preserve"> на лицевом счете на </w:t>
            </w:r>
            <w:r w:rsidR="00E67A35">
              <w:rPr>
                <w:color w:val="000000"/>
                <w:sz w:val="28"/>
                <w:szCs w:val="28"/>
              </w:rPr>
              <w:t>01.01.2020</w:t>
            </w:r>
            <w:r w:rsidR="00AD3C16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 не имеется.</w:t>
            </w:r>
            <w:r w:rsidR="00C16A21">
              <w:rPr>
                <w:color w:val="000000"/>
                <w:sz w:val="28"/>
                <w:szCs w:val="28"/>
              </w:rPr>
              <w:t xml:space="preserve"> </w:t>
            </w:r>
            <w:r w:rsidR="007D40E0" w:rsidRPr="005B524E">
              <w:rPr>
                <w:color w:val="000000"/>
                <w:sz w:val="28"/>
                <w:szCs w:val="28"/>
              </w:rPr>
              <w:t>Остаток средств на лицевом счете 14</w:t>
            </w:r>
            <w:r w:rsidR="00E67A35">
              <w:rPr>
                <w:color w:val="000000"/>
                <w:sz w:val="28"/>
                <w:szCs w:val="28"/>
              </w:rPr>
              <w:t xml:space="preserve">8.01.065.1 по </w:t>
            </w:r>
            <w:r w:rsidR="00E67A35">
              <w:rPr>
                <w:color w:val="000000"/>
                <w:sz w:val="28"/>
                <w:szCs w:val="28"/>
              </w:rPr>
              <w:lastRenderedPageBreak/>
              <w:t>состоянию на 01.01.2020</w:t>
            </w:r>
            <w:r w:rsidR="007D40E0" w:rsidRPr="005B524E">
              <w:rPr>
                <w:color w:val="000000"/>
                <w:sz w:val="28"/>
                <w:szCs w:val="28"/>
              </w:rPr>
              <w:t>г. составил 0,00 рублей</w:t>
            </w:r>
            <w:r w:rsidR="00403FB0">
              <w:rPr>
                <w:color w:val="000000"/>
                <w:sz w:val="28"/>
                <w:szCs w:val="28"/>
              </w:rPr>
              <w:t>;</w:t>
            </w:r>
            <w:r w:rsidR="007D40E0" w:rsidRPr="005B524E">
              <w:rPr>
                <w:color w:val="000000"/>
                <w:sz w:val="28"/>
                <w:szCs w:val="28"/>
              </w:rPr>
              <w:t xml:space="preserve"> на лице</w:t>
            </w:r>
            <w:r w:rsidR="003073C1">
              <w:rPr>
                <w:color w:val="000000"/>
                <w:sz w:val="28"/>
                <w:szCs w:val="28"/>
              </w:rPr>
              <w:t>вом счете 05212000230</w:t>
            </w:r>
            <w:r w:rsidR="00DC10F0">
              <w:rPr>
                <w:color w:val="000000"/>
                <w:sz w:val="28"/>
                <w:szCs w:val="28"/>
              </w:rPr>
              <w:t xml:space="preserve"> (лицевой счет для учета операций со средствами, поступившими во временное распоряжение получателя бюджетных средств)</w:t>
            </w:r>
            <w:r w:rsidR="00403FB0">
              <w:rPr>
                <w:color w:val="000000"/>
                <w:sz w:val="28"/>
                <w:szCs w:val="28"/>
              </w:rPr>
              <w:t xml:space="preserve"> остаток средств</w:t>
            </w:r>
            <w:r w:rsidR="00403FB0" w:rsidRPr="005B524E">
              <w:rPr>
                <w:color w:val="000000"/>
                <w:sz w:val="28"/>
                <w:szCs w:val="28"/>
              </w:rPr>
              <w:t xml:space="preserve"> составил 0,00 рублей</w:t>
            </w:r>
            <w:r w:rsidR="00403FB0">
              <w:rPr>
                <w:color w:val="000000"/>
                <w:sz w:val="28"/>
                <w:szCs w:val="28"/>
              </w:rPr>
              <w:t>.</w:t>
            </w:r>
            <w:r w:rsidR="00A2429F">
              <w:rPr>
                <w:color w:val="000000"/>
                <w:sz w:val="28"/>
                <w:szCs w:val="28"/>
              </w:rPr>
              <w:t xml:space="preserve"> Движение по 05212000230 счету</w:t>
            </w:r>
            <w:r w:rsidR="00403FB0">
              <w:rPr>
                <w:color w:val="000000"/>
                <w:sz w:val="28"/>
                <w:szCs w:val="28"/>
              </w:rPr>
              <w:t xml:space="preserve"> за отчетный период</w:t>
            </w:r>
            <w:r w:rsidR="00A2429F">
              <w:rPr>
                <w:color w:val="000000"/>
                <w:sz w:val="28"/>
                <w:szCs w:val="28"/>
              </w:rPr>
              <w:t>:</w:t>
            </w:r>
          </w:p>
          <w:p w:rsidR="00A2429F" w:rsidRDefault="003073C1" w:rsidP="00E67A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— 20 937,15</w:t>
            </w:r>
            <w:r w:rsidR="005B524E">
              <w:rPr>
                <w:color w:val="000000"/>
                <w:sz w:val="28"/>
                <w:szCs w:val="28"/>
              </w:rPr>
              <w:t xml:space="preserve"> рублей</w:t>
            </w:r>
            <w:r w:rsidR="00D7763C">
              <w:rPr>
                <w:color w:val="000000"/>
                <w:sz w:val="28"/>
                <w:szCs w:val="28"/>
              </w:rPr>
              <w:t xml:space="preserve"> денежные средства, поступившие </w:t>
            </w:r>
            <w:r w:rsidR="00275F5B">
              <w:rPr>
                <w:color w:val="000000"/>
                <w:sz w:val="28"/>
                <w:szCs w:val="28"/>
              </w:rPr>
              <w:t>на счет,</w:t>
            </w:r>
            <w:r w:rsidR="0017012E">
              <w:rPr>
                <w:color w:val="000000"/>
                <w:sz w:val="28"/>
                <w:szCs w:val="28"/>
              </w:rPr>
              <w:t xml:space="preserve"> открытый в УФК</w:t>
            </w:r>
            <w:r w:rsidR="00DD4DE9">
              <w:rPr>
                <w:color w:val="000000"/>
                <w:sz w:val="28"/>
                <w:szCs w:val="28"/>
              </w:rPr>
              <w:t xml:space="preserve"> </w:t>
            </w:r>
            <w:r w:rsidR="00DD4DE9" w:rsidRPr="00DD4DE9">
              <w:rPr>
                <w:color w:val="000000"/>
                <w:sz w:val="28"/>
                <w:szCs w:val="28"/>
              </w:rPr>
              <w:t>в обеспечение исполнения контракта №0321200000819000009 от 03.09.2019</w:t>
            </w:r>
            <w:r w:rsidR="00DD4DE9">
              <w:rPr>
                <w:color w:val="000000"/>
                <w:sz w:val="28"/>
                <w:szCs w:val="28"/>
              </w:rPr>
              <w:t xml:space="preserve"> предмет контракта – сенсорная комната</w:t>
            </w:r>
            <w:r w:rsidR="00A2429F">
              <w:rPr>
                <w:color w:val="000000"/>
                <w:sz w:val="28"/>
                <w:szCs w:val="28"/>
              </w:rPr>
              <w:t xml:space="preserve">. </w:t>
            </w:r>
          </w:p>
          <w:p w:rsidR="00A2429F" w:rsidRDefault="00A2429F" w:rsidP="00E67A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- 40 000,00 рублей денежные средства, поступившие на счет, открытый в УФК </w:t>
            </w:r>
            <w:r w:rsidRPr="00DD4DE9">
              <w:rPr>
                <w:color w:val="000000"/>
                <w:sz w:val="28"/>
                <w:szCs w:val="28"/>
              </w:rPr>
              <w:t xml:space="preserve">в обеспечение исполнения контракта </w:t>
            </w:r>
            <w:r w:rsidRPr="00A2429F">
              <w:rPr>
                <w:color w:val="000000"/>
                <w:sz w:val="28"/>
                <w:szCs w:val="28"/>
              </w:rPr>
              <w:t>№0321200000819000008</w:t>
            </w:r>
            <w:r>
              <w:rPr>
                <w:color w:val="000000"/>
                <w:sz w:val="28"/>
                <w:szCs w:val="28"/>
              </w:rPr>
              <w:t xml:space="preserve"> от 25.03</w:t>
            </w:r>
            <w:r w:rsidRPr="00DD4DE9">
              <w:rPr>
                <w:color w:val="000000"/>
                <w:sz w:val="28"/>
                <w:szCs w:val="28"/>
              </w:rPr>
              <w:t>.2019</w:t>
            </w:r>
            <w:r>
              <w:rPr>
                <w:color w:val="000000"/>
                <w:sz w:val="28"/>
                <w:szCs w:val="28"/>
              </w:rPr>
              <w:t xml:space="preserve"> предмет контракта – легковой автомобиль.</w:t>
            </w:r>
          </w:p>
          <w:p w:rsidR="00F2384B" w:rsidRPr="005B524E" w:rsidRDefault="00A2429F" w:rsidP="008D3B5B">
            <w:pPr>
              <w:jc w:val="both"/>
              <w:rPr>
                <w:color w:val="000000"/>
                <w:sz w:val="28"/>
                <w:szCs w:val="28"/>
              </w:rPr>
            </w:pPr>
            <w:r w:rsidRPr="008D3B5B">
              <w:rPr>
                <w:color w:val="FF0000"/>
                <w:sz w:val="28"/>
                <w:szCs w:val="28"/>
              </w:rPr>
              <w:t xml:space="preserve">         </w:t>
            </w:r>
            <w:r w:rsidR="007D40E0" w:rsidRPr="008D3B5B">
              <w:rPr>
                <w:color w:val="FF0000"/>
                <w:sz w:val="28"/>
                <w:szCs w:val="28"/>
              </w:rPr>
              <w:t xml:space="preserve"> </w:t>
            </w:r>
            <w:r w:rsidR="009C19FE">
              <w:rPr>
                <w:color w:val="000000"/>
                <w:sz w:val="28"/>
                <w:szCs w:val="28"/>
              </w:rPr>
              <w:t xml:space="preserve">Показатели отражены в ф. 0503164, </w:t>
            </w:r>
            <w:r w:rsidR="00B60A53">
              <w:rPr>
                <w:color w:val="000000"/>
                <w:sz w:val="28"/>
                <w:szCs w:val="28"/>
              </w:rPr>
              <w:t>ф. 0503127, ф.0503178</w:t>
            </w:r>
            <w:r w:rsidR="00405BBE">
              <w:rPr>
                <w:color w:val="000000"/>
                <w:sz w:val="28"/>
                <w:szCs w:val="28"/>
              </w:rPr>
              <w:t>, ф. 0503128</w:t>
            </w:r>
            <w:r w:rsidR="00AE7499">
              <w:rPr>
                <w:color w:val="000000"/>
                <w:sz w:val="28"/>
                <w:szCs w:val="28"/>
              </w:rPr>
              <w:t xml:space="preserve">, 0503121 ф., </w:t>
            </w:r>
            <w:r w:rsidR="00B60A53">
              <w:rPr>
                <w:color w:val="000000"/>
                <w:sz w:val="28"/>
                <w:szCs w:val="28"/>
              </w:rPr>
              <w:t xml:space="preserve"> на 01.01.2020 </w:t>
            </w:r>
            <w:r w:rsidR="00F2384B">
              <w:rPr>
                <w:color w:val="000000"/>
                <w:sz w:val="28"/>
                <w:szCs w:val="28"/>
              </w:rPr>
              <w:t>г</w:t>
            </w: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AD5F0C">
            <w:pPr>
              <w:spacing w:line="1" w:lineRule="auto"/>
            </w:pP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7D40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AD5F0C" w:rsidRDefault="007D4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75CD" w:rsidRPr="00B23FB6" w:rsidRDefault="007D40E0" w:rsidP="005E75C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B23FB6">
              <w:rPr>
                <w:color w:val="000000"/>
                <w:sz w:val="28"/>
                <w:szCs w:val="28"/>
              </w:rPr>
              <w:t xml:space="preserve">IV. </w:t>
            </w:r>
            <w:r w:rsidR="005E75CD" w:rsidRPr="00B23FB6">
              <w:rPr>
                <w:b/>
                <w:sz w:val="28"/>
                <w:szCs w:val="28"/>
              </w:rPr>
              <w:t>Сведения о дебиторской и кредиторской задолженности</w:t>
            </w:r>
            <w:r w:rsidR="005E75CD" w:rsidRPr="00B23FB6">
              <w:rPr>
                <w:sz w:val="28"/>
                <w:szCs w:val="28"/>
              </w:rPr>
              <w:t>.</w:t>
            </w:r>
          </w:p>
          <w:p w:rsidR="00B23FB6" w:rsidRPr="00C53198" w:rsidRDefault="00B23FB6" w:rsidP="00B23FB6">
            <w:pPr>
              <w:pStyle w:val="Style2"/>
              <w:widowControl/>
              <w:rPr>
                <w:sz w:val="26"/>
                <w:szCs w:val="26"/>
              </w:rPr>
            </w:pPr>
          </w:p>
          <w:p w:rsidR="00EE5F64" w:rsidRDefault="00853017" w:rsidP="005E75CD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>
              <w:rPr>
                <w:sz w:val="26"/>
                <w:szCs w:val="26"/>
              </w:rPr>
              <w:t xml:space="preserve">            </w:t>
            </w:r>
            <w:r w:rsidR="005E75CD" w:rsidRPr="005E75CD">
              <w:rPr>
                <w:sz w:val="28"/>
                <w:szCs w:val="28"/>
              </w:rPr>
              <w:t>Дебиторская задолженность</w:t>
            </w:r>
            <w:r w:rsidR="003C57C3">
              <w:rPr>
                <w:sz w:val="28"/>
                <w:szCs w:val="28"/>
              </w:rPr>
              <w:t xml:space="preserve"> на 01.01</w:t>
            </w:r>
            <w:r w:rsidR="00DC328A">
              <w:rPr>
                <w:sz w:val="28"/>
                <w:szCs w:val="28"/>
              </w:rPr>
              <w:t>.2020</w:t>
            </w:r>
            <w:r w:rsidR="00B23FB6">
              <w:rPr>
                <w:sz w:val="28"/>
                <w:szCs w:val="28"/>
              </w:rPr>
              <w:t xml:space="preserve"> </w:t>
            </w:r>
            <w:r w:rsidR="005E75CD" w:rsidRPr="005E75CD">
              <w:rPr>
                <w:sz w:val="28"/>
                <w:szCs w:val="28"/>
              </w:rPr>
              <w:t>год</w:t>
            </w:r>
            <w:r w:rsidR="00F36909">
              <w:rPr>
                <w:sz w:val="28"/>
                <w:szCs w:val="28"/>
              </w:rPr>
              <w:t>а</w:t>
            </w:r>
            <w:r w:rsidR="005E75CD" w:rsidRPr="005E75CD">
              <w:rPr>
                <w:sz w:val="28"/>
                <w:szCs w:val="28"/>
              </w:rPr>
              <w:t xml:space="preserve"> </w:t>
            </w:r>
            <w:r w:rsidR="0070391B">
              <w:rPr>
                <w:sz w:val="28"/>
                <w:szCs w:val="28"/>
              </w:rPr>
              <w:t xml:space="preserve">составляет </w:t>
            </w:r>
            <w:r w:rsidR="00DC328A" w:rsidRPr="00DC328A">
              <w:rPr>
                <w:sz w:val="28"/>
                <w:szCs w:val="28"/>
              </w:rPr>
              <w:t>103 323,04</w:t>
            </w:r>
            <w:r w:rsidR="005E75CD" w:rsidRPr="005E75CD">
              <w:rPr>
                <w:sz w:val="28"/>
                <w:szCs w:val="28"/>
              </w:rPr>
              <w:t xml:space="preserve"> </w:t>
            </w:r>
            <w:r w:rsidR="0070391B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  <w:r w:rsidR="0070391B">
              <w:rPr>
                <w:sz w:val="28"/>
                <w:szCs w:val="28"/>
              </w:rPr>
              <w:t xml:space="preserve"> образовалась в результате: </w:t>
            </w:r>
            <w:r w:rsidR="00CE3BFD">
              <w:rPr>
                <w:sz w:val="28"/>
                <w:szCs w:val="28"/>
              </w:rPr>
              <w:t>103 323,04</w:t>
            </w:r>
            <w:r w:rsidR="00202FB9">
              <w:rPr>
                <w:sz w:val="28"/>
                <w:szCs w:val="28"/>
              </w:rPr>
              <w:t xml:space="preserve"> </w:t>
            </w:r>
            <w:r w:rsidR="00FC727A">
              <w:rPr>
                <w:sz w:val="28"/>
                <w:szCs w:val="28"/>
              </w:rPr>
              <w:t>руб. оплата</w:t>
            </w:r>
            <w:r w:rsidR="00333AC5">
              <w:rPr>
                <w:sz w:val="28"/>
                <w:szCs w:val="28"/>
              </w:rPr>
              <w:t xml:space="preserve"> авансового платежа по коммунальным услугам, предусмотренными</w:t>
            </w:r>
            <w:r w:rsidR="00FC727A">
              <w:rPr>
                <w:sz w:val="28"/>
                <w:szCs w:val="28"/>
              </w:rPr>
              <w:t xml:space="preserve"> заключенными</w:t>
            </w:r>
            <w:r w:rsidR="00333AC5">
              <w:rPr>
                <w:sz w:val="28"/>
                <w:szCs w:val="28"/>
              </w:rPr>
              <w:t xml:space="preserve"> контрактами</w:t>
            </w:r>
            <w:r w:rsidR="003C57C3">
              <w:rPr>
                <w:sz w:val="28"/>
                <w:szCs w:val="28"/>
              </w:rPr>
              <w:t>:</w:t>
            </w:r>
            <w:r w:rsidR="00202FB9">
              <w:rPr>
                <w:sz w:val="28"/>
                <w:szCs w:val="28"/>
              </w:rPr>
              <w:t xml:space="preserve"> поставка природного газа – </w:t>
            </w:r>
            <w:r w:rsidR="00B57972">
              <w:rPr>
                <w:sz w:val="28"/>
                <w:szCs w:val="28"/>
              </w:rPr>
              <w:t xml:space="preserve">33 693,43 </w:t>
            </w:r>
            <w:r w:rsidR="00202FB9">
              <w:rPr>
                <w:sz w:val="28"/>
                <w:szCs w:val="28"/>
              </w:rPr>
              <w:t>руб.,</w:t>
            </w:r>
            <w:r w:rsidR="00B57972">
              <w:rPr>
                <w:sz w:val="28"/>
                <w:szCs w:val="28"/>
              </w:rPr>
              <w:t xml:space="preserve"> транспортировка газа – 6 897,19 руб., энергоснабжение – 43 706,98 руб.</w:t>
            </w:r>
            <w:r w:rsidR="00312D5E">
              <w:rPr>
                <w:sz w:val="28"/>
                <w:szCs w:val="28"/>
              </w:rPr>
              <w:t>, услуги связи – 19 025,44 руб.</w:t>
            </w:r>
            <w:r w:rsidR="005E75CD" w:rsidRPr="005E75CD">
              <w:rPr>
                <w:sz w:val="28"/>
                <w:szCs w:val="28"/>
              </w:rPr>
              <w:tab/>
              <w:t xml:space="preserve">Просроченной дебиторской и кредиторской задолженности </w:t>
            </w:r>
            <w:r w:rsidR="00AF1955">
              <w:rPr>
                <w:sz w:val="28"/>
                <w:szCs w:val="28"/>
              </w:rPr>
              <w:t xml:space="preserve">на </w:t>
            </w:r>
            <w:r w:rsidR="003C57C3">
              <w:rPr>
                <w:sz w:val="28"/>
                <w:szCs w:val="28"/>
              </w:rPr>
              <w:t>01.01.2020</w:t>
            </w:r>
            <w:r w:rsidR="005E75CD" w:rsidRPr="005E75CD">
              <w:rPr>
                <w:sz w:val="28"/>
                <w:szCs w:val="28"/>
              </w:rPr>
              <w:t xml:space="preserve"> год</w:t>
            </w:r>
            <w:r w:rsidR="00F36909">
              <w:rPr>
                <w:sz w:val="28"/>
                <w:szCs w:val="28"/>
              </w:rPr>
              <w:t xml:space="preserve">а не имеем. </w:t>
            </w:r>
            <w:r w:rsidR="005E75CD" w:rsidRPr="005E75CD">
              <w:rPr>
                <w:sz w:val="28"/>
                <w:szCs w:val="28"/>
              </w:rPr>
              <w:t xml:space="preserve">  </w:t>
            </w:r>
          </w:p>
          <w:p w:rsidR="005565CE" w:rsidRDefault="00EE5F64" w:rsidP="005E75CD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E75CD" w:rsidRPr="005E7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состоянию на 01.01.2020 г резерв отпусков составляет: КОСГУ 211 «Заработная плата» - 1 039 057,67 руб., КОСГУ </w:t>
            </w:r>
            <w:r w:rsidR="00C028C1">
              <w:rPr>
                <w:sz w:val="28"/>
                <w:szCs w:val="28"/>
              </w:rPr>
              <w:t xml:space="preserve">213 </w:t>
            </w:r>
            <w:r>
              <w:rPr>
                <w:sz w:val="28"/>
                <w:szCs w:val="28"/>
              </w:rPr>
              <w:t>«</w:t>
            </w:r>
            <w:r w:rsidRPr="000257ED">
              <w:rPr>
                <w:sz w:val="28"/>
                <w:szCs w:val="28"/>
              </w:rPr>
              <w:t>Начисления на выплаты по оплате труда</w:t>
            </w:r>
            <w:r>
              <w:rPr>
                <w:sz w:val="28"/>
                <w:szCs w:val="28"/>
              </w:rPr>
              <w:t>»</w:t>
            </w:r>
            <w:r w:rsidR="00C028C1">
              <w:rPr>
                <w:sz w:val="28"/>
                <w:szCs w:val="28"/>
              </w:rPr>
              <w:t xml:space="preserve"> - 313 795,42</w:t>
            </w:r>
            <w:r>
              <w:rPr>
                <w:sz w:val="28"/>
                <w:szCs w:val="28"/>
              </w:rPr>
              <w:t xml:space="preserve">.  </w:t>
            </w:r>
          </w:p>
          <w:p w:rsidR="00942587" w:rsidRDefault="005565CE" w:rsidP="005E75CD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Показатели отражены в ф. 0503169</w:t>
            </w:r>
            <w:r w:rsidR="00942587">
              <w:rPr>
                <w:sz w:val="28"/>
                <w:szCs w:val="28"/>
              </w:rPr>
              <w:t xml:space="preserve"> «Сведения по дебиторской и кредиторской задолженности».</w:t>
            </w:r>
          </w:p>
          <w:p w:rsidR="00942587" w:rsidRPr="00942587" w:rsidRDefault="005E75CD" w:rsidP="009425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75CD">
              <w:rPr>
                <w:sz w:val="28"/>
                <w:szCs w:val="28"/>
              </w:rPr>
              <w:t xml:space="preserve">   </w:t>
            </w:r>
            <w:r w:rsidR="00942587">
              <w:rPr>
                <w:sz w:val="28"/>
                <w:szCs w:val="28"/>
              </w:rPr>
              <w:t xml:space="preserve">      </w:t>
            </w:r>
            <w:r w:rsidR="00942587" w:rsidRPr="00C10805">
              <w:rPr>
                <w:sz w:val="28"/>
                <w:szCs w:val="28"/>
              </w:rPr>
              <w:t xml:space="preserve"> Сведения об изменении остатков валюты баланса ф. 0503173. Внесены изменения на начало года по коммунальным услугам. Окончательный расчет по коммунальным услугам происходит в начале года после отчетного периода</w:t>
            </w:r>
            <w:r w:rsidR="00942587">
              <w:rPr>
                <w:sz w:val="28"/>
                <w:szCs w:val="28"/>
              </w:rPr>
              <w:t>.</w:t>
            </w:r>
            <w:r w:rsidR="004A2EC6">
              <w:rPr>
                <w:sz w:val="28"/>
                <w:szCs w:val="28"/>
              </w:rPr>
              <w:t xml:space="preserve"> Приняты акты приема-передачи коммунальных услуг за декабрь 2018 г., о</w:t>
            </w:r>
            <w:r w:rsidR="00187C86">
              <w:rPr>
                <w:sz w:val="28"/>
                <w:szCs w:val="28"/>
              </w:rPr>
              <w:t>тражены в бухгалтерском учете</w:t>
            </w:r>
            <w:r w:rsidR="008A195A">
              <w:rPr>
                <w:sz w:val="28"/>
                <w:szCs w:val="28"/>
              </w:rPr>
              <w:t xml:space="preserve"> </w:t>
            </w:r>
            <w:r w:rsidR="00156B64">
              <w:rPr>
                <w:sz w:val="28"/>
                <w:szCs w:val="28"/>
              </w:rPr>
              <w:t>(</w:t>
            </w:r>
            <w:r w:rsidR="00156B64" w:rsidRPr="00156B64">
              <w:rPr>
                <w:sz w:val="28"/>
                <w:szCs w:val="28"/>
              </w:rPr>
              <w:t>в соответствии с методическими указаниями по применению положений СГС "События после отчетной даты", в случае поступления первичных документ</w:t>
            </w:r>
            <w:r w:rsidR="00156B64">
              <w:rPr>
                <w:sz w:val="28"/>
                <w:szCs w:val="28"/>
              </w:rPr>
              <w:t>о</w:t>
            </w:r>
            <w:r w:rsidR="00187C86">
              <w:rPr>
                <w:sz w:val="28"/>
                <w:szCs w:val="28"/>
              </w:rPr>
              <w:t>в после даты подписания отчетов</w:t>
            </w:r>
            <w:r w:rsidR="00156B64">
              <w:rPr>
                <w:sz w:val="28"/>
                <w:szCs w:val="28"/>
              </w:rPr>
              <w:t>)</w:t>
            </w:r>
            <w:r w:rsidR="00187C86">
              <w:rPr>
                <w:sz w:val="28"/>
                <w:szCs w:val="28"/>
              </w:rPr>
              <w:t>.</w:t>
            </w:r>
          </w:p>
          <w:p w:rsidR="005E75CD" w:rsidRPr="005E75CD" w:rsidRDefault="005E75CD" w:rsidP="005E75CD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r w:rsidRPr="005E75CD">
              <w:rPr>
                <w:sz w:val="28"/>
                <w:szCs w:val="28"/>
              </w:rPr>
              <w:t xml:space="preserve">                             </w:t>
            </w:r>
          </w:p>
          <w:bookmarkEnd w:id="2"/>
          <w:bookmarkEnd w:id="3"/>
          <w:p w:rsidR="00AD5F0C" w:rsidRDefault="007D40E0" w:rsidP="005E75CD">
            <w:pPr>
              <w:jc w:val="both"/>
              <w:rPr>
                <w:color w:val="000000"/>
                <w:sz w:val="28"/>
                <w:szCs w:val="28"/>
              </w:rPr>
            </w:pPr>
            <w:r w:rsidRPr="005E75CD">
              <w:rPr>
                <w:color w:val="000000"/>
                <w:sz w:val="28"/>
                <w:szCs w:val="28"/>
              </w:rPr>
              <w:tab/>
            </w:r>
            <w:r w:rsidRPr="005E75CD">
              <w:rPr>
                <w:color w:val="000000"/>
                <w:sz w:val="28"/>
                <w:szCs w:val="28"/>
              </w:rPr>
              <w:tab/>
            </w:r>
            <w:r w:rsidRPr="005E75CD">
              <w:rPr>
                <w:color w:val="000000"/>
                <w:sz w:val="28"/>
                <w:szCs w:val="28"/>
              </w:rPr>
              <w:tab/>
            </w:r>
            <w:r w:rsidRPr="005E75CD">
              <w:rPr>
                <w:color w:val="000000"/>
                <w:sz w:val="28"/>
                <w:szCs w:val="28"/>
              </w:rPr>
              <w:tab/>
            </w:r>
            <w:r w:rsidRPr="005E75CD">
              <w:rPr>
                <w:color w:val="000000"/>
                <w:sz w:val="28"/>
                <w:szCs w:val="28"/>
              </w:rPr>
              <w:tab/>
            </w:r>
            <w:r w:rsidR="005E75CD">
              <w:rPr>
                <w:color w:val="000000"/>
                <w:sz w:val="28"/>
                <w:szCs w:val="28"/>
              </w:rPr>
              <w:tab/>
            </w:r>
            <w:r w:rsidR="005E75CD">
              <w:rPr>
                <w:color w:val="000000"/>
                <w:sz w:val="28"/>
                <w:szCs w:val="28"/>
              </w:rPr>
              <w:tab/>
            </w:r>
            <w:r w:rsidR="005E75CD">
              <w:rPr>
                <w:color w:val="000000"/>
                <w:sz w:val="28"/>
                <w:szCs w:val="28"/>
              </w:rPr>
              <w:tab/>
            </w:r>
            <w:r w:rsidR="005E75CD">
              <w:rPr>
                <w:color w:val="000000"/>
                <w:sz w:val="28"/>
                <w:szCs w:val="28"/>
              </w:rPr>
              <w:tab/>
            </w:r>
            <w:r w:rsidR="005E75CD">
              <w:rPr>
                <w:color w:val="000000"/>
                <w:sz w:val="28"/>
                <w:szCs w:val="28"/>
              </w:rPr>
              <w:tab/>
            </w:r>
          </w:p>
        </w:tc>
      </w:tr>
      <w:tr w:rsidR="00AD5F0C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CA0B04">
            <w:pPr>
              <w:spacing w:line="1" w:lineRule="auto"/>
            </w:pPr>
            <w:r>
              <w:t>1</w:t>
            </w:r>
          </w:p>
        </w:tc>
      </w:tr>
      <w:tr w:rsidR="00AD5F0C" w:rsidRPr="00A555CD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Default="007D40E0" w:rsidP="00F914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Pr="00A555CD" w:rsidRDefault="007D40E0" w:rsidP="00F9146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555CD"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A555CD" w:rsidRDefault="007D40E0" w:rsidP="00F91461">
            <w:pPr>
              <w:jc w:val="both"/>
              <w:rPr>
                <w:color w:val="000000"/>
                <w:sz w:val="28"/>
                <w:szCs w:val="28"/>
              </w:rPr>
            </w:pPr>
            <w:r w:rsidRPr="00A555CD">
              <w:rPr>
                <w:color w:val="000000"/>
                <w:sz w:val="28"/>
                <w:szCs w:val="28"/>
              </w:rPr>
              <w:t xml:space="preserve"> </w:t>
            </w:r>
          </w:p>
          <w:p w:rsidR="00AD5F0C" w:rsidRDefault="00652828" w:rsidP="00F91461">
            <w:pPr>
              <w:jc w:val="both"/>
              <w:rPr>
                <w:color w:val="000000"/>
                <w:sz w:val="28"/>
                <w:szCs w:val="28"/>
              </w:rPr>
            </w:pPr>
            <w:r w:rsidRPr="00A555CD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AF1955" w:rsidRPr="00A555CD">
              <w:rPr>
                <w:color w:val="000000"/>
                <w:sz w:val="28"/>
                <w:szCs w:val="28"/>
              </w:rPr>
              <w:t xml:space="preserve"> </w:t>
            </w:r>
            <w:r w:rsidR="00AF5E1D">
              <w:rPr>
                <w:color w:val="000000"/>
                <w:sz w:val="28"/>
                <w:szCs w:val="28"/>
              </w:rPr>
              <w:t xml:space="preserve">      </w:t>
            </w:r>
            <w:r w:rsidR="007D40E0" w:rsidRPr="00A555CD">
              <w:rPr>
                <w:color w:val="000000"/>
                <w:sz w:val="28"/>
                <w:szCs w:val="28"/>
              </w:rPr>
              <w:t>В своей работе работники бухгалтерии учреждения руководствуются Федеральным Законом от 21.11.1996 г. № 402-ФЗ «О бухгалтерском учете», «Инструкцией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года № 191н; Инструкцией от 06.12.2010 г. № 162н</w:t>
            </w:r>
            <w:r w:rsidRPr="00A555CD">
              <w:rPr>
                <w:rFonts w:ascii="&amp;quot" w:hAnsi="&amp;quot"/>
                <w:color w:val="000000"/>
                <w:sz w:val="30"/>
                <w:szCs w:val="30"/>
              </w:rPr>
              <w:t xml:space="preserve"> (ред. от 28.12.2018)</w:t>
            </w:r>
            <w:r w:rsidR="007D40E0" w:rsidRPr="00A555CD">
              <w:rPr>
                <w:color w:val="000000"/>
                <w:sz w:val="28"/>
                <w:szCs w:val="28"/>
              </w:rPr>
              <w:t xml:space="preserve"> «По применению плана счетов бюджетного учета», Учетной политикой учре</w:t>
            </w:r>
            <w:r w:rsidRPr="00A555CD">
              <w:rPr>
                <w:color w:val="000000"/>
                <w:sz w:val="28"/>
                <w:szCs w:val="28"/>
              </w:rPr>
              <w:t xml:space="preserve">ждения. </w:t>
            </w:r>
            <w:r w:rsidR="007D40E0" w:rsidRPr="00A555CD">
              <w:rPr>
                <w:color w:val="000000"/>
                <w:sz w:val="28"/>
                <w:szCs w:val="28"/>
              </w:rPr>
              <w:t>Большое внимание уделяется мероприятиям по улучшению состояния и сохранности основных средств, осуществляется инвен</w:t>
            </w:r>
            <w:r w:rsidRPr="00A555CD">
              <w:rPr>
                <w:color w:val="000000"/>
                <w:sz w:val="28"/>
                <w:szCs w:val="28"/>
              </w:rPr>
              <w:t xml:space="preserve">таризация основных средств и МЗ, полному и своевременному освоению доведенных предельных объемов финансирования в отчетном периоде. </w:t>
            </w:r>
          </w:p>
          <w:p w:rsidR="005F3CC5" w:rsidRDefault="005F3CC5" w:rsidP="00F91461">
            <w:pPr>
              <w:jc w:val="both"/>
              <w:rPr>
                <w:rFonts w:eastAsiaTheme="minorEastAsia"/>
                <w:bCs/>
                <w:kern w:val="2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Theme="minorEastAsia"/>
                <w:bCs/>
                <w:kern w:val="24"/>
                <w:sz w:val="28"/>
                <w:szCs w:val="28"/>
              </w:rPr>
              <w:t>С</w:t>
            </w:r>
            <w:r w:rsidRPr="005F3CC5">
              <w:rPr>
                <w:rFonts w:eastAsiaTheme="minorEastAsia"/>
                <w:bCs/>
                <w:kern w:val="24"/>
                <w:sz w:val="28"/>
                <w:szCs w:val="28"/>
              </w:rPr>
              <w:t>ведения о мерах по устранению нарушений, выявленных в ходе мероприятий</w:t>
            </w:r>
            <w:r w:rsidRPr="006E3E55">
              <w:rPr>
                <w:rFonts w:asciiTheme="minorHAnsi" w:eastAsiaTheme="minorEastAsia" w:hAnsi="Calibri" w:cstheme="minorBidi"/>
                <w:b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5F3CC5">
              <w:rPr>
                <w:rFonts w:eastAsiaTheme="minorEastAsia"/>
                <w:bCs/>
                <w:kern w:val="24"/>
                <w:sz w:val="28"/>
                <w:szCs w:val="28"/>
              </w:rPr>
              <w:t>внутреннего и внешнего государственного (муниципального) финансового контроля</w:t>
            </w:r>
            <w:r>
              <w:rPr>
                <w:rFonts w:eastAsiaTheme="minorEastAsia"/>
                <w:bCs/>
                <w:kern w:val="24"/>
                <w:sz w:val="28"/>
                <w:szCs w:val="28"/>
              </w:rPr>
              <w:t>:</w:t>
            </w:r>
          </w:p>
          <w:p w:rsidR="005F3CC5" w:rsidRDefault="005F3CC5" w:rsidP="00F91461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bCs/>
                <w:kern w:val="24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 ходе проведения проверки в соответствии с распоряжением министерства труда и социальной защиты населения Ставропольского края</w:t>
            </w:r>
            <w:r w:rsidR="00E73A91">
              <w:rPr>
                <w:sz w:val="28"/>
                <w:szCs w:val="28"/>
              </w:rPr>
              <w:t xml:space="preserve"> </w:t>
            </w:r>
            <w:r w:rsidR="00566188">
              <w:rPr>
                <w:sz w:val="28"/>
                <w:szCs w:val="28"/>
              </w:rPr>
              <w:t>(далее – министерство)</w:t>
            </w:r>
            <w:r>
              <w:rPr>
                <w:sz w:val="28"/>
                <w:szCs w:val="28"/>
              </w:rPr>
              <w:t xml:space="preserve"> от 21 августа 2019 г. № 326-р </w:t>
            </w:r>
            <w:r w:rsidR="00566188">
              <w:rPr>
                <w:sz w:val="28"/>
                <w:szCs w:val="28"/>
              </w:rPr>
              <w:t>были выявлены недостатки. По рекомендации комиссии министерства оприходованы излишки продуктов питания</w:t>
            </w:r>
            <w:r w:rsidR="00E73A91">
              <w:rPr>
                <w:sz w:val="28"/>
                <w:szCs w:val="28"/>
              </w:rPr>
              <w:t>, в сумме 906,11 руб.;</w:t>
            </w:r>
            <w:r w:rsidR="00566188">
              <w:rPr>
                <w:sz w:val="28"/>
                <w:szCs w:val="28"/>
              </w:rPr>
              <w:t xml:space="preserve"> недостача в сумме 806,58 руб. по продуктам питания возмещена за счет средств виновного лица</w:t>
            </w:r>
            <w:r w:rsidR="00E73A91">
              <w:rPr>
                <w:sz w:val="28"/>
                <w:szCs w:val="28"/>
              </w:rPr>
              <w:t xml:space="preserve"> (заведующий хозяйством)</w:t>
            </w:r>
            <w:r w:rsidR="00566188">
              <w:rPr>
                <w:sz w:val="28"/>
                <w:szCs w:val="28"/>
              </w:rPr>
              <w:t>.</w:t>
            </w:r>
            <w:r w:rsidR="00E73A91">
              <w:rPr>
                <w:sz w:val="28"/>
                <w:szCs w:val="28"/>
              </w:rPr>
              <w:t xml:space="preserve"> Операции отражены по следующим счетам:</w:t>
            </w:r>
            <w:r w:rsidR="00756DFE">
              <w:rPr>
                <w:sz w:val="28"/>
                <w:szCs w:val="28"/>
              </w:rPr>
              <w:t xml:space="preserve"> 209.74 «Расчеты по ущербу материальных запасов»</w:t>
            </w:r>
            <w:r w:rsidR="000F4680">
              <w:rPr>
                <w:sz w:val="28"/>
                <w:szCs w:val="28"/>
              </w:rPr>
              <w:t>, 401.10 «Доходы текущего финансового года».</w:t>
            </w:r>
          </w:p>
          <w:p w:rsidR="00E661AC" w:rsidRDefault="00E661AC" w:rsidP="003055D3">
            <w:pPr>
              <w:jc w:val="both"/>
              <w:rPr>
                <w:sz w:val="28"/>
                <w:szCs w:val="28"/>
              </w:rPr>
            </w:pPr>
            <w:r w:rsidRPr="00E661AC">
              <w:rPr>
                <w:sz w:val="28"/>
                <w:szCs w:val="28"/>
              </w:rPr>
              <w:t xml:space="preserve">        </w:t>
            </w:r>
            <w:r w:rsidR="003055D3">
              <w:rPr>
                <w:sz w:val="28"/>
                <w:szCs w:val="28"/>
              </w:rPr>
              <w:t>При проведении годовой</w:t>
            </w:r>
            <w:r w:rsidRPr="00E661AC">
              <w:rPr>
                <w:sz w:val="28"/>
                <w:szCs w:val="28"/>
              </w:rPr>
              <w:t xml:space="preserve"> инвентаризации</w:t>
            </w:r>
            <w:r w:rsidR="003055D3">
              <w:rPr>
                <w:sz w:val="28"/>
                <w:szCs w:val="28"/>
              </w:rPr>
              <w:t xml:space="preserve"> в соответствии с приказом учреждения от 28.10.2019 № 99-од</w:t>
            </w:r>
            <w:r w:rsidRPr="00E661AC">
              <w:rPr>
                <w:sz w:val="28"/>
                <w:szCs w:val="28"/>
              </w:rPr>
              <w:t xml:space="preserve"> признаков обесценения объектов н</w:t>
            </w:r>
            <w:r w:rsidR="003A5A89">
              <w:rPr>
                <w:sz w:val="28"/>
                <w:szCs w:val="28"/>
              </w:rPr>
              <w:t>ефинансовых активов не выявлено</w:t>
            </w:r>
            <w:r w:rsidRPr="00E661AC">
              <w:rPr>
                <w:sz w:val="28"/>
                <w:szCs w:val="28"/>
              </w:rPr>
              <w:t>.</w:t>
            </w:r>
            <w:r w:rsidR="00D81907">
              <w:rPr>
                <w:sz w:val="28"/>
                <w:szCs w:val="28"/>
              </w:rPr>
              <w:t xml:space="preserve"> Излишек и недостач не выявлено.</w:t>
            </w:r>
          </w:p>
          <w:p w:rsidR="00546556" w:rsidRDefault="00EE5F64" w:rsidP="00F91461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52828" w:rsidRPr="00A555CD">
              <w:rPr>
                <w:sz w:val="26"/>
                <w:szCs w:val="26"/>
              </w:rPr>
              <w:t xml:space="preserve"> </w:t>
            </w:r>
            <w:r w:rsidR="00546556" w:rsidRPr="00A555CD">
              <w:rPr>
                <w:sz w:val="28"/>
                <w:szCs w:val="28"/>
              </w:rPr>
              <w:t xml:space="preserve">       При составлении </w:t>
            </w:r>
            <w:r w:rsidR="00725EAD">
              <w:rPr>
                <w:sz w:val="28"/>
                <w:szCs w:val="28"/>
              </w:rPr>
              <w:t>и предос</w:t>
            </w:r>
            <w:r w:rsidR="00AF5E1D">
              <w:rPr>
                <w:sz w:val="28"/>
                <w:szCs w:val="28"/>
              </w:rPr>
              <w:t>тавлении отчетности за 2019 год</w:t>
            </w:r>
            <w:r w:rsidR="00DD5C34">
              <w:rPr>
                <w:sz w:val="28"/>
                <w:szCs w:val="28"/>
              </w:rPr>
              <w:t xml:space="preserve"> </w:t>
            </w:r>
            <w:r w:rsidR="00DD5C34">
              <w:rPr>
                <w:color w:val="000000"/>
                <w:sz w:val="28"/>
                <w:szCs w:val="28"/>
              </w:rPr>
              <w:t>п</w:t>
            </w:r>
            <w:r w:rsidR="00546556" w:rsidRPr="00A555CD">
              <w:rPr>
                <w:color w:val="000000"/>
                <w:sz w:val="28"/>
                <w:szCs w:val="28"/>
              </w:rPr>
              <w:t>рименяли</w:t>
            </w:r>
            <w:r w:rsidR="00DD5C34">
              <w:rPr>
                <w:color w:val="000000"/>
                <w:sz w:val="28"/>
                <w:szCs w:val="28"/>
              </w:rPr>
              <w:t xml:space="preserve">: приказ министерства труда и социальной защиты населения Ставропольского края от 28.12.2019 г. № 530; </w:t>
            </w:r>
            <w:r w:rsidR="002322BE">
              <w:rPr>
                <w:color w:val="000000"/>
                <w:sz w:val="28"/>
                <w:szCs w:val="28"/>
              </w:rPr>
              <w:t>письмо Министерства финансов Российской Федерации от 31.12.2019 № 02-06-07/103995</w:t>
            </w:r>
            <w:r w:rsidR="006C69E4">
              <w:rPr>
                <w:color w:val="000000"/>
                <w:sz w:val="28"/>
                <w:szCs w:val="28"/>
              </w:rPr>
              <w:t xml:space="preserve"> «О составлении и предоставлении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2019 год»</w:t>
            </w:r>
            <w:r w:rsidR="002322BE">
              <w:rPr>
                <w:color w:val="000000"/>
                <w:sz w:val="28"/>
                <w:szCs w:val="28"/>
              </w:rPr>
              <w:t xml:space="preserve">; </w:t>
            </w:r>
            <w:r w:rsidR="000240F6" w:rsidRPr="00A555CD">
              <w:rPr>
                <w:sz w:val="28"/>
                <w:szCs w:val="28"/>
              </w:rPr>
              <w:t xml:space="preserve">федеральные стандарты бухгалтерского учета для организаций государственного сектора, утвержденными приказами Минфина России </w:t>
            </w:r>
            <w:r w:rsidR="00CD1DB8">
              <w:rPr>
                <w:sz w:val="28"/>
                <w:szCs w:val="28"/>
              </w:rPr>
              <w:t>от 30.12.2017 г №275н «событие после отчетной даты»</w:t>
            </w:r>
            <w:r w:rsidR="00617EA8">
              <w:rPr>
                <w:sz w:val="28"/>
                <w:szCs w:val="28"/>
              </w:rPr>
              <w:t>, от 30.12.2017 г №</w:t>
            </w:r>
            <w:r w:rsidR="00CD1DB8">
              <w:rPr>
                <w:sz w:val="28"/>
                <w:szCs w:val="28"/>
              </w:rPr>
              <w:t xml:space="preserve">274н «учетная политика, оценочные значения и ошибки», </w:t>
            </w:r>
            <w:r w:rsidR="00617EA8">
              <w:rPr>
                <w:sz w:val="28"/>
                <w:szCs w:val="28"/>
              </w:rPr>
              <w:t>от 30.12.2017 г №278н «отчет о движении денежных средств», от 27.02.2018 г №32н «доходы», от 30.05.2018 г №122н «влияние изменений курсов иностранных валют»</w:t>
            </w:r>
            <w:r w:rsidR="005A16CF">
              <w:rPr>
                <w:sz w:val="28"/>
                <w:szCs w:val="28"/>
              </w:rPr>
              <w:t>,</w:t>
            </w:r>
            <w:r w:rsidR="005A16CF" w:rsidRPr="005A16CF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="005A16CF">
              <w:rPr>
                <w:rFonts w:ascii="&amp;quot" w:hAnsi="&amp;quot"/>
                <w:color w:val="000000"/>
                <w:sz w:val="30"/>
                <w:szCs w:val="30"/>
              </w:rPr>
              <w:t>о</w:t>
            </w:r>
            <w:r w:rsidR="005A16CF" w:rsidRPr="005A16CF">
              <w:rPr>
                <w:rFonts w:ascii="&amp;quot" w:hAnsi="&amp;quot"/>
                <w:color w:val="000000"/>
                <w:sz w:val="30"/>
                <w:szCs w:val="30"/>
              </w:rPr>
              <w:t>т 31.12.2016 N 256н (ред. от 10.06.2019)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</w:t>
            </w:r>
            <w:r w:rsidR="005A16CF">
              <w:rPr>
                <w:rFonts w:ascii="&amp;quot" w:hAnsi="&amp;quot"/>
                <w:color w:val="000000"/>
                <w:sz w:val="30"/>
                <w:szCs w:val="30"/>
              </w:rPr>
              <w:t xml:space="preserve">заций государственного </w:t>
            </w:r>
            <w:r w:rsidR="005A16CF">
              <w:rPr>
                <w:rFonts w:ascii="&amp;quot" w:hAnsi="&amp;quot"/>
                <w:color w:val="000000"/>
                <w:sz w:val="30"/>
                <w:szCs w:val="30"/>
              </w:rPr>
              <w:lastRenderedPageBreak/>
              <w:t>сектора"</w:t>
            </w:r>
            <w:r w:rsidR="00074F61">
              <w:rPr>
                <w:rFonts w:ascii="&amp;quot" w:hAnsi="&amp;quot"/>
                <w:color w:val="000000"/>
                <w:sz w:val="30"/>
                <w:szCs w:val="30"/>
              </w:rPr>
              <w:t>, от 31.12.2016 N 257н "Об утверждении федерального стандарта бухгалтерского учета для организаций государственн</w:t>
            </w:r>
            <w:r w:rsidR="005655A6">
              <w:rPr>
                <w:rFonts w:ascii="&amp;quot" w:hAnsi="&amp;quot"/>
                <w:color w:val="000000"/>
                <w:sz w:val="30"/>
                <w:szCs w:val="30"/>
              </w:rPr>
              <w:t>ого сектора "Основные средства", от 31.12.2016 N 258н "Об утверждении федерального стандарта бухгалтерского учета для организаций государственного сектора "Аренда", от 31.12.2016 N 259н "Об утверждении федерального стандарта бухгалтерского учета для организаций государственного сектора "Обесценение активов",</w:t>
            </w:r>
            <w:r w:rsidR="00C7598C">
              <w:rPr>
                <w:rFonts w:ascii="&amp;quot" w:hAnsi="&amp;quot"/>
                <w:color w:val="000000"/>
                <w:sz w:val="30"/>
                <w:szCs w:val="30"/>
              </w:rPr>
              <w:t xml:space="preserve"> от 31.12.2016 N 260н (ред. от 10.06.2019)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      </w:r>
            <w:r w:rsidR="00C229CE">
              <w:rPr>
                <w:rFonts w:ascii="&amp;quot" w:hAnsi="&amp;quot"/>
                <w:color w:val="000000"/>
                <w:sz w:val="30"/>
                <w:szCs w:val="30"/>
              </w:rPr>
              <w:t xml:space="preserve"> Приказ Минфина России от 29.11.2017 N 209н (ред. от 13.05.2019) "Об утверждении Порядка применения классификации операций сектора государственного управления"</w:t>
            </w:r>
            <w:r w:rsidR="00546556" w:rsidRPr="00546556">
              <w:rPr>
                <w:color w:val="000000"/>
                <w:sz w:val="28"/>
                <w:szCs w:val="28"/>
              </w:rPr>
              <w:t xml:space="preserve">(за исключением положений, действующих с отчетности 2021 г.) </w:t>
            </w:r>
            <w:r w:rsidR="00C229CE" w:rsidRPr="00C229CE">
              <w:rPr>
                <w:rFonts w:ascii="&amp;quot" w:hAnsi="&amp;quot"/>
                <w:color w:val="000000"/>
                <w:sz w:val="30"/>
                <w:szCs w:val="30"/>
              </w:rPr>
              <w:t>Приказ Минфина России от 08.06.2018 N 132н (ред. от 25.11.2019) "О Порядке формирования и применения кодов бюджетной классификации Российской Федерации, их структуре и принципах назначения"</w:t>
            </w:r>
            <w:r w:rsidR="001D2FA4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  <w:r w:rsidR="00C229CE" w:rsidRPr="00C229CE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="001D2FA4">
              <w:rPr>
                <w:rFonts w:ascii="&amp;quot" w:hAnsi="&amp;quot"/>
                <w:color w:val="000000"/>
                <w:sz w:val="30"/>
                <w:szCs w:val="30"/>
              </w:rPr>
              <w:t>Приказ Минфина России от 28.12.2010 N 191н (ред. от 20.08.2019)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".</w:t>
            </w:r>
            <w:r w:rsidR="00C447C0">
              <w:rPr>
                <w:rFonts w:ascii="&amp;quot" w:hAnsi="&amp;quot"/>
                <w:color w:val="000000"/>
                <w:sz w:val="30"/>
                <w:szCs w:val="30"/>
              </w:rPr>
              <w:t xml:space="preserve"> Приказ Минфина России от 25.03.2011 N 33н (ред. от 16.10.2019)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      </w:r>
          </w:p>
          <w:p w:rsidR="006E3518" w:rsidRDefault="006E3518" w:rsidP="00F91461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        </w:t>
            </w:r>
            <w:r w:rsidR="009E777E">
              <w:rPr>
                <w:rFonts w:ascii="&amp;quot" w:hAnsi="&amp;quot"/>
                <w:color w:val="000000"/>
                <w:sz w:val="30"/>
                <w:szCs w:val="30"/>
              </w:rPr>
              <w:t>В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связи с отсутствием показателей </w:t>
            </w:r>
            <w:r w:rsidR="009E777E">
              <w:rPr>
                <w:rFonts w:ascii="&amp;quot" w:hAnsi="&amp;quot"/>
                <w:color w:val="000000"/>
                <w:sz w:val="30"/>
                <w:szCs w:val="30"/>
              </w:rPr>
              <w:t>в</w:t>
            </w:r>
            <w:r w:rsidR="009E777E">
              <w:rPr>
                <w:rFonts w:ascii="&amp;quot" w:hAnsi="&amp;quot"/>
                <w:color w:val="000000"/>
                <w:sz w:val="30"/>
                <w:szCs w:val="30"/>
              </w:rPr>
              <w:t xml:space="preserve"> составе годовой отчетности не предоставлены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формы</w:t>
            </w:r>
            <w:r w:rsidR="00FE660C">
              <w:rPr>
                <w:rFonts w:ascii="&amp;quot" w:hAnsi="&amp;quot"/>
                <w:color w:val="000000"/>
                <w:sz w:val="30"/>
                <w:szCs w:val="30"/>
              </w:rPr>
              <w:t xml:space="preserve"> и таблицы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:</w:t>
            </w:r>
          </w:p>
          <w:p w:rsidR="00AF52C9" w:rsidRDefault="00AF52C9" w:rsidP="00AF52C9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</w:t>
            </w:r>
            <w:r w:rsidR="00A72FDB">
              <w:rPr>
                <w:rFonts w:ascii="&amp;quot" w:hAnsi="&amp;quot"/>
                <w:color w:val="000000"/>
                <w:sz w:val="30"/>
                <w:szCs w:val="30"/>
              </w:rPr>
              <w:t>ф. 0503174 «</w:t>
            </w:r>
            <w:r w:rsidRPr="00AF52C9">
              <w:rPr>
                <w:rFonts w:ascii="&amp;quot" w:hAnsi="&amp;quot"/>
                <w:color w:val="000000"/>
                <w:sz w:val="30"/>
                <w:szCs w:val="30"/>
              </w:rPr>
              <w:t>Сведения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AF52C9">
              <w:rPr>
                <w:rFonts w:ascii="&amp;quot" w:hAnsi="&amp;quot"/>
                <w:color w:val="000000"/>
                <w:sz w:val="30"/>
                <w:szCs w:val="30"/>
              </w:rPr>
              <w:t>о доходах бюджета от перечисления части прибыли (дивидендов) государственных (муниципальных)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AF52C9">
              <w:rPr>
                <w:rFonts w:ascii="&amp;quot" w:hAnsi="&amp;quot"/>
                <w:color w:val="000000"/>
                <w:sz w:val="30"/>
                <w:szCs w:val="30"/>
              </w:rPr>
              <w:t>унитарных предприятий, иных организаций с государственным участием в капитале</w:t>
            </w:r>
            <w:r w:rsidR="00A72FDB"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B23B88" w:rsidRDefault="00B23B88" w:rsidP="00B23B88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>0503178</w:t>
            </w:r>
            <w:r w:rsidR="006321F7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="006321F7">
              <w:rPr>
                <w:rFonts w:ascii="&amp;quot" w:hAnsi="&amp;quot"/>
                <w:color w:val="000000"/>
                <w:sz w:val="30"/>
                <w:szCs w:val="30"/>
                <w:lang w:val="en-US"/>
              </w:rPr>
              <w:t>BUDG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="006321F7">
              <w:rPr>
                <w:rFonts w:ascii="&amp;quot" w:hAnsi="&amp;quot"/>
                <w:color w:val="000000"/>
                <w:sz w:val="30"/>
                <w:szCs w:val="30"/>
              </w:rPr>
              <w:t>«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>Сведения об остатках денежных средств на счетах</w:t>
            </w:r>
            <w:r w:rsidR="00F07381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>получателя бюджетных средств</w:t>
            </w:r>
            <w:r w:rsidR="006321F7"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6321F7" w:rsidRDefault="006321F7" w:rsidP="006321F7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ф. 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>0503178</w:t>
            </w:r>
            <w:r w:rsidRPr="006321F7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&amp;quot" w:hAnsi="&amp;quot"/>
                <w:color w:val="000000"/>
                <w:sz w:val="30"/>
                <w:szCs w:val="30"/>
                <w:lang w:val="en-US"/>
              </w:rPr>
              <w:t>SVR</w:t>
            </w:r>
            <w:r w:rsidRPr="00B23B88"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="000A6B3F">
              <w:rPr>
                <w:rFonts w:ascii="&amp;quot" w:hAnsi="&amp;quot"/>
                <w:color w:val="000000"/>
                <w:sz w:val="30"/>
                <w:szCs w:val="30"/>
              </w:rPr>
              <w:t>«</w:t>
            </w:r>
            <w:r w:rsidRPr="006321F7">
              <w:rPr>
                <w:rFonts w:ascii="&amp;quot" w:hAnsi="&amp;quot"/>
                <w:color w:val="000000"/>
                <w:sz w:val="30"/>
                <w:szCs w:val="30"/>
              </w:rPr>
              <w:t>Сведения об остатках денежных средств на счетах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6321F7">
              <w:rPr>
                <w:rFonts w:ascii="&amp;quot" w:hAnsi="&amp;quot"/>
                <w:color w:val="000000"/>
                <w:sz w:val="30"/>
                <w:szCs w:val="30"/>
              </w:rPr>
              <w:t>получателя бюджетных средств</w:t>
            </w:r>
            <w:r w:rsidR="000A6B3F"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0A6B3F" w:rsidRDefault="000A6B3F" w:rsidP="006321F7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0A6B3F">
              <w:rPr>
                <w:rFonts w:ascii="&amp;quot" w:hAnsi="&amp;quot"/>
                <w:color w:val="000000"/>
                <w:sz w:val="30"/>
                <w:szCs w:val="30"/>
              </w:rPr>
              <w:t xml:space="preserve">0503161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«</w:t>
            </w:r>
            <w:r w:rsidRPr="000A6B3F">
              <w:rPr>
                <w:rFonts w:ascii="&amp;quot" w:hAnsi="&amp;quot"/>
                <w:color w:val="000000"/>
                <w:sz w:val="30"/>
                <w:szCs w:val="30"/>
              </w:rPr>
      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0413EA" w:rsidRDefault="000413EA" w:rsidP="000413EA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0413EA">
              <w:rPr>
                <w:rFonts w:ascii="&amp;quot" w:hAnsi="&amp;quot"/>
                <w:color w:val="000000"/>
                <w:sz w:val="30"/>
                <w:szCs w:val="30"/>
              </w:rPr>
              <w:t>0503296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«Сведения об исполнении судебных решений по денежн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ым обязательствам бюджета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AF52C9" w:rsidRDefault="00A1526F" w:rsidP="00A1526F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A1526F">
              <w:rPr>
                <w:rFonts w:ascii="&amp;quot" w:hAnsi="&amp;quot"/>
                <w:color w:val="000000"/>
                <w:sz w:val="30"/>
                <w:szCs w:val="30"/>
              </w:rPr>
              <w:t xml:space="preserve">0503171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«</w:t>
            </w:r>
            <w:r w:rsidRPr="00A1526F">
              <w:rPr>
                <w:rFonts w:ascii="&amp;quot" w:hAnsi="&amp;quot"/>
                <w:color w:val="000000"/>
                <w:sz w:val="30"/>
                <w:szCs w:val="30"/>
              </w:rPr>
              <w:t xml:space="preserve">Сведения о финансовых вложениях получателя </w:t>
            </w:r>
            <w:r w:rsidRPr="00A1526F">
              <w:rPr>
                <w:rFonts w:ascii="&amp;quot" w:hAnsi="&amp;quot"/>
                <w:color w:val="000000"/>
                <w:sz w:val="30"/>
                <w:szCs w:val="30"/>
              </w:rPr>
              <w:lastRenderedPageBreak/>
              <w:t>бюджетных средств,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A1526F">
              <w:rPr>
                <w:rFonts w:ascii="&amp;quot" w:hAnsi="&amp;quot"/>
                <w:color w:val="000000"/>
                <w:sz w:val="30"/>
                <w:szCs w:val="30"/>
              </w:rPr>
              <w:t>администратора источников финансирования дефицита бюджета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324D40" w:rsidRDefault="00324D40" w:rsidP="00A1526F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324D40">
              <w:rPr>
                <w:rFonts w:ascii="&amp;quot" w:hAnsi="&amp;quot"/>
                <w:color w:val="000000"/>
                <w:sz w:val="30"/>
                <w:szCs w:val="30"/>
              </w:rPr>
              <w:t xml:space="preserve">0503172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«</w:t>
            </w:r>
            <w:r w:rsidRPr="00324D40">
              <w:rPr>
                <w:rFonts w:ascii="&amp;quot" w:hAnsi="&amp;quot"/>
                <w:color w:val="000000"/>
                <w:sz w:val="30"/>
                <w:szCs w:val="30"/>
              </w:rPr>
              <w:t>Сведения о государственном (муниципальном) долге, предоставленных бюджетных кредитах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»</w:t>
            </w:r>
            <w:r w:rsidR="00311AEA">
              <w:rPr>
                <w:rFonts w:ascii="&amp;quot" w:hAnsi="&amp;quot"/>
                <w:color w:val="000000"/>
                <w:sz w:val="30"/>
                <w:szCs w:val="30"/>
              </w:rPr>
              <w:t>.</w:t>
            </w:r>
          </w:p>
          <w:p w:rsidR="00AF52C9" w:rsidRDefault="00774079" w:rsidP="00774079">
            <w:pPr>
              <w:jc w:val="both"/>
              <w:rPr>
                <w:rFonts w:ascii="&amp;quot" w:hAnsi="&amp;quot"/>
                <w:color w:val="000000"/>
                <w:sz w:val="30"/>
                <w:szCs w:val="30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- ф. </w:t>
            </w:r>
            <w:r w:rsidRPr="00774079">
              <w:rPr>
                <w:rFonts w:ascii="&amp;quot" w:hAnsi="&amp;quot"/>
                <w:color w:val="000000"/>
                <w:sz w:val="30"/>
                <w:szCs w:val="30"/>
              </w:rPr>
              <w:t xml:space="preserve">0503184 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«Справка </w:t>
            </w:r>
            <w:r w:rsidRPr="00774079">
              <w:rPr>
                <w:rFonts w:ascii="&amp;quot" w:hAnsi="&amp;quot"/>
                <w:color w:val="000000"/>
                <w:sz w:val="30"/>
                <w:szCs w:val="30"/>
              </w:rPr>
              <w:t>о суммах консолидируемых поступлений,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 xml:space="preserve"> </w:t>
            </w:r>
            <w:r w:rsidRPr="00774079">
              <w:rPr>
                <w:rFonts w:ascii="&amp;quot" w:hAnsi="&amp;quot"/>
                <w:color w:val="000000"/>
                <w:sz w:val="30"/>
                <w:szCs w:val="30"/>
              </w:rPr>
              <w:t>подлежащих зачислению на счет бюджета</w:t>
            </w:r>
            <w:r>
              <w:rPr>
                <w:rFonts w:ascii="&amp;quot" w:hAnsi="&amp;quot"/>
                <w:color w:val="000000"/>
                <w:sz w:val="30"/>
                <w:szCs w:val="30"/>
              </w:rPr>
              <w:t>.»</w:t>
            </w:r>
          </w:p>
          <w:p w:rsidR="003C0335" w:rsidRDefault="003C0335" w:rsidP="003C03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&amp;quot" w:hAnsi="&amp;quot"/>
                <w:color w:val="000000"/>
                <w:sz w:val="30"/>
                <w:szCs w:val="30"/>
              </w:rPr>
              <w:t>- ф.</w:t>
            </w:r>
            <w:r>
              <w:t xml:space="preserve"> </w:t>
            </w:r>
            <w:r w:rsidRPr="003C0335">
              <w:rPr>
                <w:sz w:val="28"/>
                <w:szCs w:val="28"/>
              </w:rPr>
              <w:t>0503128</w:t>
            </w:r>
            <w:r>
              <w:rPr>
                <w:sz w:val="28"/>
                <w:szCs w:val="28"/>
                <w:lang w:val="en-US"/>
              </w:rPr>
              <w:t>N</w:t>
            </w:r>
            <w:r w:rsidRPr="003C0335">
              <w:rPr>
                <w:sz w:val="28"/>
                <w:szCs w:val="28"/>
              </w:rPr>
              <w:t xml:space="preserve"> «</w:t>
            </w:r>
            <w:r w:rsidRPr="003C0335">
              <w:rPr>
                <w:color w:val="000000"/>
                <w:sz w:val="28"/>
                <w:szCs w:val="28"/>
              </w:rPr>
              <w:t xml:space="preserve">Отчет </w:t>
            </w:r>
            <w:r w:rsidRPr="003C0335">
              <w:rPr>
                <w:color w:val="000000"/>
                <w:sz w:val="28"/>
                <w:szCs w:val="28"/>
              </w:rPr>
              <w:t>о бюджетных назначениях</w:t>
            </w:r>
            <w:r w:rsidRPr="003C0335">
              <w:rPr>
                <w:color w:val="000000"/>
                <w:sz w:val="28"/>
                <w:szCs w:val="28"/>
              </w:rPr>
              <w:t>»</w:t>
            </w:r>
            <w:r w:rsidR="00311AEA">
              <w:rPr>
                <w:color w:val="000000"/>
                <w:sz w:val="28"/>
                <w:szCs w:val="28"/>
              </w:rPr>
              <w:t>.</w:t>
            </w:r>
          </w:p>
          <w:p w:rsidR="003C0335" w:rsidRDefault="003C0335" w:rsidP="003C03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ф. </w:t>
            </w:r>
            <w:r w:rsidRPr="003C0335">
              <w:rPr>
                <w:color w:val="000000"/>
                <w:sz w:val="28"/>
                <w:szCs w:val="28"/>
              </w:rPr>
              <w:t>0503128</w:t>
            </w:r>
            <w:r>
              <w:rPr>
                <w:color w:val="000000"/>
                <w:sz w:val="28"/>
                <w:szCs w:val="28"/>
              </w:rPr>
              <w:t xml:space="preserve">-НП «Отчет </w:t>
            </w:r>
            <w:r w:rsidRPr="003C0335">
              <w:rPr>
                <w:color w:val="000000"/>
                <w:sz w:val="28"/>
                <w:szCs w:val="28"/>
              </w:rPr>
              <w:t>о бюджетных обязательствах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6B06D5" w:rsidRDefault="006B06D5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ф.</w:t>
            </w:r>
            <w:r>
              <w:t xml:space="preserve"> </w:t>
            </w:r>
            <w:r w:rsidRPr="006B06D5">
              <w:rPr>
                <w:color w:val="000000"/>
                <w:sz w:val="28"/>
                <w:szCs w:val="28"/>
              </w:rPr>
              <w:t>0503190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F4989">
              <w:rPr>
                <w:color w:val="000000"/>
                <w:sz w:val="28"/>
                <w:szCs w:val="28"/>
              </w:rPr>
              <w:t>«</w:t>
            </w:r>
            <w:r w:rsidRPr="006B06D5">
              <w:rPr>
                <w:color w:val="000000"/>
                <w:sz w:val="28"/>
                <w:szCs w:val="28"/>
              </w:rPr>
              <w:t>Сведения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06D5">
              <w:rPr>
                <w:color w:val="000000"/>
                <w:sz w:val="28"/>
                <w:szCs w:val="28"/>
              </w:rPr>
              <w:t>о вложениях в объекты недвижимого имущества, объектах незавершенного строительства</w:t>
            </w:r>
            <w:r w:rsidR="00FF498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F4989" w:rsidRDefault="00FF4989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ф. </w:t>
            </w:r>
            <w:r w:rsidRPr="00FF4989">
              <w:rPr>
                <w:color w:val="000000"/>
                <w:sz w:val="28"/>
                <w:szCs w:val="28"/>
              </w:rPr>
              <w:t>0503173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SVR</w:t>
            </w:r>
            <w:r w:rsidRPr="00FF49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F4989">
              <w:rPr>
                <w:color w:val="000000"/>
                <w:sz w:val="28"/>
                <w:szCs w:val="28"/>
              </w:rPr>
              <w:t>Сведения об изменении остатков валюты баланса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391372" w:rsidRDefault="00121D4B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91372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91372" w:rsidRPr="00391372">
              <w:rPr>
                <w:color w:val="000000"/>
                <w:sz w:val="28"/>
                <w:szCs w:val="28"/>
              </w:rPr>
              <w:t>0503163</w:t>
            </w:r>
            <w:r w:rsidR="003913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391372" w:rsidRPr="00391372">
              <w:rPr>
                <w:color w:val="000000"/>
                <w:sz w:val="28"/>
                <w:szCs w:val="28"/>
              </w:rPr>
              <w:t>Сведения об изменениях бюджетной росписи</w:t>
            </w:r>
            <w:r w:rsidR="00391372">
              <w:t xml:space="preserve"> </w:t>
            </w:r>
            <w:r w:rsidR="00391372" w:rsidRPr="00391372">
              <w:rPr>
                <w:color w:val="000000"/>
                <w:sz w:val="28"/>
                <w:szCs w:val="28"/>
              </w:rPr>
              <w:t>главного распорядителя бюджетных средств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E7276F" w:rsidRDefault="00E7276F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ф. </w:t>
            </w:r>
            <w:r w:rsidRPr="00E7276F">
              <w:rPr>
                <w:color w:val="000000"/>
                <w:sz w:val="28"/>
                <w:szCs w:val="28"/>
              </w:rPr>
              <w:t>0503168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E727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7276F">
              <w:rPr>
                <w:color w:val="000000"/>
                <w:sz w:val="28"/>
                <w:szCs w:val="28"/>
              </w:rPr>
              <w:t>Сведения о движении нефинансовых активов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BE3F56" w:rsidRDefault="00BE3F56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ф. </w:t>
            </w:r>
            <w:r w:rsidRPr="00BE3F56">
              <w:rPr>
                <w:color w:val="000000"/>
                <w:sz w:val="28"/>
                <w:szCs w:val="28"/>
              </w:rPr>
              <w:t xml:space="preserve">0503167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E3F56">
              <w:rPr>
                <w:color w:val="000000"/>
                <w:sz w:val="28"/>
                <w:szCs w:val="28"/>
              </w:rPr>
              <w:t>Сведения о целевых иностранных кредитах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121D4B" w:rsidRPr="003C0335" w:rsidRDefault="00784DFF" w:rsidP="006B06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ф. </w:t>
            </w:r>
            <w:r w:rsidRPr="00784DFF">
              <w:rPr>
                <w:color w:val="000000"/>
                <w:sz w:val="28"/>
                <w:szCs w:val="28"/>
              </w:rPr>
              <w:t xml:space="preserve">0503166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84DFF">
              <w:rPr>
                <w:color w:val="000000"/>
                <w:sz w:val="28"/>
                <w:szCs w:val="28"/>
              </w:rPr>
              <w:t>Сведения об исполнении мероприятий в рамках целевых программ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093749" w:rsidRPr="003E41F5" w:rsidRDefault="00D00BF5" w:rsidP="008A1A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ф.</w:t>
            </w:r>
            <w:r w:rsidR="007E0F6B">
              <w:t xml:space="preserve"> </w:t>
            </w:r>
            <w:r w:rsidR="007E0F6B" w:rsidRPr="007E0F6B">
              <w:rPr>
                <w:color w:val="000000"/>
                <w:sz w:val="28"/>
                <w:szCs w:val="28"/>
              </w:rPr>
              <w:t>0503162</w:t>
            </w:r>
            <w:r w:rsidR="007E0F6B">
              <w:t xml:space="preserve"> </w:t>
            </w:r>
            <w:r w:rsidR="007E0F6B">
              <w:rPr>
                <w:sz w:val="28"/>
                <w:szCs w:val="28"/>
              </w:rPr>
              <w:t>«</w:t>
            </w:r>
            <w:r w:rsidR="007E0F6B" w:rsidRPr="007E0F6B">
              <w:rPr>
                <w:color w:val="000000"/>
                <w:sz w:val="28"/>
                <w:szCs w:val="28"/>
              </w:rPr>
              <w:t>Сведения о результатах деятельности</w:t>
            </w:r>
            <w:r w:rsidR="007E0F6B">
              <w:rPr>
                <w:color w:val="000000"/>
                <w:sz w:val="28"/>
                <w:szCs w:val="28"/>
              </w:rPr>
              <w:t>».</w:t>
            </w:r>
          </w:p>
          <w:p w:rsidR="00E46E88" w:rsidRPr="00D07E39" w:rsidRDefault="005003A0" w:rsidP="00E46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E41F5">
              <w:rPr>
                <w:color w:val="000000"/>
                <w:sz w:val="28"/>
                <w:szCs w:val="28"/>
              </w:rPr>
              <w:t xml:space="preserve">- </w:t>
            </w:r>
            <w:r w:rsidR="00E46E88" w:rsidRPr="00E46E88">
              <w:rPr>
                <w:color w:val="000000"/>
                <w:sz w:val="28"/>
                <w:szCs w:val="28"/>
              </w:rPr>
              <w:t xml:space="preserve">Таблица N 2 </w:t>
            </w:r>
            <w:r w:rsidR="000E716F" w:rsidRPr="00D07E39">
              <w:rPr>
                <w:color w:val="000000"/>
                <w:sz w:val="28"/>
                <w:szCs w:val="28"/>
              </w:rPr>
              <w:t>«</w:t>
            </w:r>
            <w:r w:rsidR="00E46E88" w:rsidRPr="00E46E88">
              <w:rPr>
                <w:color w:val="000000"/>
                <w:sz w:val="28"/>
                <w:szCs w:val="28"/>
              </w:rPr>
              <w:t>Сведения о мерах по повышению эффективности</w:t>
            </w:r>
            <w:r w:rsidR="00C16674" w:rsidRPr="00D07E39">
              <w:rPr>
                <w:color w:val="000000"/>
                <w:sz w:val="28"/>
                <w:szCs w:val="28"/>
              </w:rPr>
              <w:t xml:space="preserve"> </w:t>
            </w:r>
            <w:r w:rsidR="0006686F">
              <w:rPr>
                <w:color w:val="000000"/>
                <w:sz w:val="28"/>
                <w:szCs w:val="28"/>
              </w:rPr>
              <w:t>р</w:t>
            </w:r>
            <w:r w:rsidR="00E46E88" w:rsidRPr="00E46E88">
              <w:rPr>
                <w:color w:val="000000"/>
                <w:sz w:val="28"/>
                <w:szCs w:val="28"/>
              </w:rPr>
              <w:t>асходования бюджетных средств</w:t>
            </w:r>
            <w:r w:rsidR="00C16674" w:rsidRPr="00D07E39">
              <w:rPr>
                <w:color w:val="000000"/>
                <w:sz w:val="28"/>
                <w:szCs w:val="28"/>
              </w:rPr>
              <w:t>»</w:t>
            </w:r>
            <w:r w:rsidR="009F3E15">
              <w:rPr>
                <w:color w:val="000000"/>
                <w:sz w:val="28"/>
                <w:szCs w:val="28"/>
              </w:rPr>
              <w:t>.</w:t>
            </w:r>
          </w:p>
          <w:p w:rsidR="00BE290E" w:rsidRPr="00D07E39" w:rsidRDefault="00BE290E" w:rsidP="00BE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D07E39">
              <w:rPr>
                <w:color w:val="000000"/>
                <w:sz w:val="28"/>
                <w:szCs w:val="28"/>
              </w:rPr>
              <w:t xml:space="preserve">- </w:t>
            </w:r>
            <w:r w:rsidRPr="00BE290E">
              <w:rPr>
                <w:color w:val="000000"/>
                <w:sz w:val="28"/>
                <w:szCs w:val="28"/>
              </w:rPr>
              <w:t>Таблица N 3</w:t>
            </w:r>
            <w:r w:rsidRPr="00D07E39">
              <w:rPr>
                <w:color w:val="000000"/>
                <w:sz w:val="28"/>
                <w:szCs w:val="28"/>
              </w:rPr>
              <w:t xml:space="preserve"> </w:t>
            </w:r>
            <w:r w:rsidR="000E716F" w:rsidRPr="00D07E39">
              <w:rPr>
                <w:color w:val="000000"/>
                <w:sz w:val="28"/>
                <w:szCs w:val="28"/>
              </w:rPr>
              <w:t>«</w:t>
            </w:r>
            <w:r w:rsidRPr="00BE290E">
              <w:rPr>
                <w:color w:val="000000"/>
                <w:sz w:val="28"/>
                <w:szCs w:val="28"/>
              </w:rPr>
              <w:t>Сведения об исполнении текстовых статей</w:t>
            </w:r>
            <w:r w:rsidR="00D07E39">
              <w:rPr>
                <w:color w:val="000000"/>
                <w:sz w:val="28"/>
                <w:szCs w:val="28"/>
              </w:rPr>
              <w:t xml:space="preserve"> </w:t>
            </w:r>
            <w:r w:rsidRPr="00BE290E">
              <w:rPr>
                <w:color w:val="000000"/>
                <w:sz w:val="28"/>
                <w:szCs w:val="28"/>
              </w:rPr>
              <w:t>закона (решения) о бюджете</w:t>
            </w:r>
            <w:r w:rsidR="000E716F" w:rsidRPr="00D07E39">
              <w:rPr>
                <w:color w:val="000000"/>
                <w:sz w:val="28"/>
                <w:szCs w:val="28"/>
              </w:rPr>
              <w:t>»</w:t>
            </w:r>
            <w:r w:rsidR="009F3E15">
              <w:rPr>
                <w:color w:val="000000"/>
                <w:sz w:val="28"/>
                <w:szCs w:val="28"/>
              </w:rPr>
              <w:t>.</w:t>
            </w:r>
          </w:p>
          <w:p w:rsidR="00E46E88" w:rsidRPr="00093749" w:rsidRDefault="00E46E88" w:rsidP="00093749">
            <w:pPr>
              <w:pStyle w:val="HTML"/>
              <w:rPr>
                <w:rFonts w:ascii="&amp;quot" w:hAnsi="&amp;quot" w:cs="Courier New"/>
                <w:color w:val="000000"/>
                <w:sz w:val="30"/>
                <w:szCs w:val="30"/>
              </w:rPr>
            </w:pPr>
            <w:bookmarkStart w:id="4" w:name="_GoBack"/>
            <w:bookmarkEnd w:id="4"/>
          </w:p>
          <w:p w:rsidR="004E7E6C" w:rsidRPr="00A555CD" w:rsidRDefault="004E7E6C" w:rsidP="00F914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771C0" w:rsidRPr="00A555CD" w:rsidRDefault="00B771C0" w:rsidP="00F91461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color w:val="000000"/>
                <w:sz w:val="28"/>
                <w:szCs w:val="28"/>
              </w:rPr>
            </w:pPr>
            <w:r w:rsidRPr="00A555CD">
              <w:rPr>
                <w:sz w:val="28"/>
                <w:szCs w:val="28"/>
              </w:rPr>
              <w:tab/>
            </w:r>
          </w:p>
        </w:tc>
      </w:tr>
      <w:tr w:rsidR="00AD5F0C" w:rsidRPr="00A555CD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Pr="00A555CD" w:rsidRDefault="00AD5F0C">
            <w:pPr>
              <w:spacing w:line="1" w:lineRule="auto"/>
            </w:pPr>
          </w:p>
        </w:tc>
      </w:tr>
      <w:tr w:rsidR="00AD5F0C" w:rsidRPr="00A555CD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F0C" w:rsidRPr="00A555CD" w:rsidRDefault="00AD5F0C">
            <w:pPr>
              <w:spacing w:line="1" w:lineRule="auto"/>
            </w:pPr>
          </w:p>
        </w:tc>
      </w:tr>
    </w:tbl>
    <w:p w:rsidR="00AD5F0C" w:rsidRPr="00A555CD" w:rsidRDefault="00AD5F0C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D5F0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726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1133"/>
            </w:tblGrid>
            <w:tr w:rsidR="00AD5F0C" w:rsidRPr="00A555CD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D5F0C" w:rsidRPr="00A555CD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Pr="00A555CD" w:rsidRDefault="007D40E0">
                        <w:bookmarkStart w:id="5" w:name="__bookmark_3"/>
                        <w:bookmarkEnd w:id="5"/>
                        <w:r w:rsidRPr="00A555CD">
                          <w:rPr>
                            <w:color w:val="000000"/>
                          </w:rPr>
                          <w:t>Директор</w:t>
                        </w:r>
                      </w:p>
                    </w:tc>
                  </w:tr>
                </w:tbl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82BA4">
                  <w:pPr>
                    <w:jc w:val="center"/>
                    <w:rPr>
                      <w:color w:val="000000"/>
                    </w:rPr>
                  </w:pPr>
                  <w:r w:rsidRPr="00A555CD">
                    <w:rPr>
                      <w:color w:val="000000"/>
                    </w:rPr>
                    <w:t>Жураховская Светлана Андреевна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</w:tr>
            <w:tr w:rsidR="00AD5F0C" w:rsidRPr="00A555CD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</w:tr>
            <w:tr w:rsidR="00AD5F0C" w:rsidRPr="00A555CD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D5F0C" w:rsidRPr="00A555CD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Pr="00A555CD" w:rsidRDefault="007D40E0">
                        <w:r w:rsidRPr="00A555CD">
                          <w:rPr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D5F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</w:tr>
            <w:tr w:rsidR="00AD5F0C" w:rsidRPr="00A555CD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</w:tr>
            <w:tr w:rsidR="00AD5F0C" w:rsidRPr="00A555CD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D5F0C" w:rsidRPr="00A555CD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Pr="00A555CD" w:rsidRDefault="007D40E0">
                        <w:r w:rsidRPr="00A555CD">
                          <w:rPr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D5F0C" w:rsidRPr="00A555CD" w:rsidRDefault="00A82BA4">
                  <w:pPr>
                    <w:jc w:val="center"/>
                    <w:rPr>
                      <w:color w:val="000000"/>
                    </w:rPr>
                  </w:pPr>
                  <w:r w:rsidRPr="00A555CD">
                    <w:rPr>
                      <w:color w:val="000000"/>
                    </w:rPr>
                    <w:t>Шевченко Мария Владимировна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</w:tr>
            <w:tr w:rsidR="00AD5F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Pr="00A555CD" w:rsidRDefault="00AD5F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7D40E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 w:rsidRPr="00A555CD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AD5F0C">
                  <w:pPr>
                    <w:spacing w:line="1" w:lineRule="auto"/>
                  </w:pPr>
                </w:p>
              </w:tc>
            </w:tr>
            <w:tr w:rsidR="00AD5F0C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AD5F0C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5F0C" w:rsidRDefault="00AD5F0C" w:rsidP="00A82BA4"/>
                    </w:tc>
                  </w:tr>
                </w:tbl>
                <w:p w:rsidR="00AD5F0C" w:rsidRDefault="00AD5F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F0C" w:rsidRDefault="00AD5F0C">
                  <w:pPr>
                    <w:spacing w:line="1" w:lineRule="auto"/>
                  </w:pPr>
                </w:p>
              </w:tc>
            </w:tr>
          </w:tbl>
          <w:p w:rsidR="00AD5F0C" w:rsidRDefault="00AD5F0C">
            <w:pPr>
              <w:spacing w:line="1" w:lineRule="auto"/>
            </w:pPr>
          </w:p>
        </w:tc>
      </w:tr>
    </w:tbl>
    <w:p w:rsidR="007D40E0" w:rsidRPr="006E3E55" w:rsidRDefault="007D40E0">
      <w:pPr>
        <w:rPr>
          <w:color w:val="FF0000"/>
        </w:rPr>
      </w:pPr>
    </w:p>
    <w:sectPr w:rsidR="007D40E0" w:rsidRPr="006E3E55" w:rsidSect="00AD5F0C">
      <w:headerReference w:type="default" r:id="rId8"/>
      <w:footerReference w:type="default" r:id="rId9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4B" w:rsidRDefault="0032034B" w:rsidP="00AD5F0C">
      <w:r>
        <w:separator/>
      </w:r>
    </w:p>
  </w:endnote>
  <w:endnote w:type="continuationSeparator" w:id="0">
    <w:p w:rsidR="0032034B" w:rsidRDefault="0032034B" w:rsidP="00A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D5F0C">
      <w:trPr>
        <w:trHeight w:val="56"/>
      </w:trPr>
      <w:tc>
        <w:tcPr>
          <w:tcW w:w="9571" w:type="dxa"/>
        </w:tcPr>
        <w:p w:rsidR="00AD5F0C" w:rsidRDefault="00AD5F0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4B" w:rsidRDefault="0032034B" w:rsidP="00AD5F0C">
      <w:r>
        <w:separator/>
      </w:r>
    </w:p>
  </w:footnote>
  <w:footnote w:type="continuationSeparator" w:id="0">
    <w:p w:rsidR="0032034B" w:rsidRDefault="0032034B" w:rsidP="00AD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D5F0C">
      <w:trPr>
        <w:trHeight w:val="56"/>
      </w:trPr>
      <w:tc>
        <w:tcPr>
          <w:tcW w:w="9571" w:type="dxa"/>
        </w:tcPr>
        <w:p w:rsidR="00AD5F0C" w:rsidRDefault="00AD5F0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B91"/>
    <w:multiLevelType w:val="hybridMultilevel"/>
    <w:tmpl w:val="48CC3CDA"/>
    <w:lvl w:ilvl="0" w:tplc="E0500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AF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C6E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CF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6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87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03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66D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EA5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0C44850"/>
    <w:multiLevelType w:val="hybridMultilevel"/>
    <w:tmpl w:val="FCF60478"/>
    <w:lvl w:ilvl="0" w:tplc="A38E0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3AE1"/>
    <w:multiLevelType w:val="hybridMultilevel"/>
    <w:tmpl w:val="160C301E"/>
    <w:lvl w:ilvl="0" w:tplc="719AC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4D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472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6F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8FF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484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87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C7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AF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F0C"/>
    <w:rsid w:val="00002004"/>
    <w:rsid w:val="00021A79"/>
    <w:rsid w:val="0002272B"/>
    <w:rsid w:val="000240F6"/>
    <w:rsid w:val="00025046"/>
    <w:rsid w:val="000257ED"/>
    <w:rsid w:val="00025EB0"/>
    <w:rsid w:val="0002604F"/>
    <w:rsid w:val="000314D5"/>
    <w:rsid w:val="000363F9"/>
    <w:rsid w:val="000413EA"/>
    <w:rsid w:val="00055F15"/>
    <w:rsid w:val="000636BD"/>
    <w:rsid w:val="0006686F"/>
    <w:rsid w:val="00067EA3"/>
    <w:rsid w:val="000740E3"/>
    <w:rsid w:val="00074F61"/>
    <w:rsid w:val="0007766F"/>
    <w:rsid w:val="00093749"/>
    <w:rsid w:val="000952E1"/>
    <w:rsid w:val="00096920"/>
    <w:rsid w:val="00097864"/>
    <w:rsid w:val="000A6B3F"/>
    <w:rsid w:val="000A7CB9"/>
    <w:rsid w:val="000C4EFE"/>
    <w:rsid w:val="000C6DE3"/>
    <w:rsid w:val="000E2A44"/>
    <w:rsid w:val="000E716F"/>
    <w:rsid w:val="000F2FB7"/>
    <w:rsid w:val="000F4680"/>
    <w:rsid w:val="00103DDE"/>
    <w:rsid w:val="00113749"/>
    <w:rsid w:val="00121D4B"/>
    <w:rsid w:val="00123E51"/>
    <w:rsid w:val="00135BDD"/>
    <w:rsid w:val="00145A47"/>
    <w:rsid w:val="00156B64"/>
    <w:rsid w:val="001674B3"/>
    <w:rsid w:val="0017012E"/>
    <w:rsid w:val="00177E43"/>
    <w:rsid w:val="00187C86"/>
    <w:rsid w:val="001A13D4"/>
    <w:rsid w:val="001A37D9"/>
    <w:rsid w:val="001B09A9"/>
    <w:rsid w:val="001B1341"/>
    <w:rsid w:val="001B2F33"/>
    <w:rsid w:val="001D2FA4"/>
    <w:rsid w:val="001D7213"/>
    <w:rsid w:val="001E41E5"/>
    <w:rsid w:val="001F2B3C"/>
    <w:rsid w:val="001F6AE2"/>
    <w:rsid w:val="00202FB9"/>
    <w:rsid w:val="002177F2"/>
    <w:rsid w:val="00222AC8"/>
    <w:rsid w:val="00223B2C"/>
    <w:rsid w:val="0023133D"/>
    <w:rsid w:val="002322BE"/>
    <w:rsid w:val="00234BB2"/>
    <w:rsid w:val="00240D36"/>
    <w:rsid w:val="00266A1C"/>
    <w:rsid w:val="0027162C"/>
    <w:rsid w:val="00275F5B"/>
    <w:rsid w:val="00285598"/>
    <w:rsid w:val="002B1060"/>
    <w:rsid w:val="002C62DA"/>
    <w:rsid w:val="002E0D87"/>
    <w:rsid w:val="002E71D0"/>
    <w:rsid w:val="002E7A9B"/>
    <w:rsid w:val="003055D3"/>
    <w:rsid w:val="00306374"/>
    <w:rsid w:val="0030720F"/>
    <w:rsid w:val="003073C1"/>
    <w:rsid w:val="00311AEA"/>
    <w:rsid w:val="0031225C"/>
    <w:rsid w:val="00312D5E"/>
    <w:rsid w:val="00314D79"/>
    <w:rsid w:val="0032034B"/>
    <w:rsid w:val="00324D40"/>
    <w:rsid w:val="00331987"/>
    <w:rsid w:val="00333AC5"/>
    <w:rsid w:val="00346DA1"/>
    <w:rsid w:val="00360DF2"/>
    <w:rsid w:val="00370F9C"/>
    <w:rsid w:val="00376607"/>
    <w:rsid w:val="00380B6B"/>
    <w:rsid w:val="00384C30"/>
    <w:rsid w:val="00391372"/>
    <w:rsid w:val="003A204A"/>
    <w:rsid w:val="003A5A89"/>
    <w:rsid w:val="003A5A8C"/>
    <w:rsid w:val="003B259E"/>
    <w:rsid w:val="003C0335"/>
    <w:rsid w:val="003C57C3"/>
    <w:rsid w:val="003D3FAE"/>
    <w:rsid w:val="003E41F5"/>
    <w:rsid w:val="003F46B6"/>
    <w:rsid w:val="00401BBE"/>
    <w:rsid w:val="00403FB0"/>
    <w:rsid w:val="00405BBE"/>
    <w:rsid w:val="004069C8"/>
    <w:rsid w:val="00407129"/>
    <w:rsid w:val="00424FC2"/>
    <w:rsid w:val="004341D6"/>
    <w:rsid w:val="00441C02"/>
    <w:rsid w:val="00474DF7"/>
    <w:rsid w:val="00486DE5"/>
    <w:rsid w:val="004876AE"/>
    <w:rsid w:val="004929C4"/>
    <w:rsid w:val="00495E2A"/>
    <w:rsid w:val="004A2274"/>
    <w:rsid w:val="004A2EC6"/>
    <w:rsid w:val="004A7213"/>
    <w:rsid w:val="004C0622"/>
    <w:rsid w:val="004D4C2D"/>
    <w:rsid w:val="004E7E6C"/>
    <w:rsid w:val="004F1171"/>
    <w:rsid w:val="004F2438"/>
    <w:rsid w:val="004F5AFF"/>
    <w:rsid w:val="005002A9"/>
    <w:rsid w:val="005003A0"/>
    <w:rsid w:val="0050747F"/>
    <w:rsid w:val="005115EB"/>
    <w:rsid w:val="00511953"/>
    <w:rsid w:val="0051530C"/>
    <w:rsid w:val="005259E3"/>
    <w:rsid w:val="005327B5"/>
    <w:rsid w:val="00542416"/>
    <w:rsid w:val="00546556"/>
    <w:rsid w:val="0055231B"/>
    <w:rsid w:val="005565CE"/>
    <w:rsid w:val="00557779"/>
    <w:rsid w:val="00563FE7"/>
    <w:rsid w:val="005647DF"/>
    <w:rsid w:val="005655A6"/>
    <w:rsid w:val="00566188"/>
    <w:rsid w:val="00594B03"/>
    <w:rsid w:val="0059624B"/>
    <w:rsid w:val="005A16CF"/>
    <w:rsid w:val="005A6475"/>
    <w:rsid w:val="005A7136"/>
    <w:rsid w:val="005B524E"/>
    <w:rsid w:val="005B5FE7"/>
    <w:rsid w:val="005E2197"/>
    <w:rsid w:val="005E75CD"/>
    <w:rsid w:val="005F3CC5"/>
    <w:rsid w:val="00607002"/>
    <w:rsid w:val="00613B55"/>
    <w:rsid w:val="006147ED"/>
    <w:rsid w:val="00617EA8"/>
    <w:rsid w:val="00623F0D"/>
    <w:rsid w:val="006321F7"/>
    <w:rsid w:val="0064083E"/>
    <w:rsid w:val="006415E0"/>
    <w:rsid w:val="006518C2"/>
    <w:rsid w:val="00652828"/>
    <w:rsid w:val="00654844"/>
    <w:rsid w:val="00674AEC"/>
    <w:rsid w:val="006831E4"/>
    <w:rsid w:val="00683FD1"/>
    <w:rsid w:val="006B06D5"/>
    <w:rsid w:val="006C69E4"/>
    <w:rsid w:val="006D2385"/>
    <w:rsid w:val="006E3518"/>
    <w:rsid w:val="006E3E55"/>
    <w:rsid w:val="006F3D15"/>
    <w:rsid w:val="0070391B"/>
    <w:rsid w:val="00705D95"/>
    <w:rsid w:val="00721078"/>
    <w:rsid w:val="00725EAD"/>
    <w:rsid w:val="007325A0"/>
    <w:rsid w:val="00736E54"/>
    <w:rsid w:val="007412C1"/>
    <w:rsid w:val="007423C6"/>
    <w:rsid w:val="00742EB4"/>
    <w:rsid w:val="00756DFE"/>
    <w:rsid w:val="00763A66"/>
    <w:rsid w:val="00764AC0"/>
    <w:rsid w:val="00774079"/>
    <w:rsid w:val="00782F3E"/>
    <w:rsid w:val="00783BA2"/>
    <w:rsid w:val="00784DFF"/>
    <w:rsid w:val="007A15D8"/>
    <w:rsid w:val="007A3C45"/>
    <w:rsid w:val="007B495F"/>
    <w:rsid w:val="007D40E0"/>
    <w:rsid w:val="007E0F6B"/>
    <w:rsid w:val="008029F0"/>
    <w:rsid w:val="00803742"/>
    <w:rsid w:val="00806EFA"/>
    <w:rsid w:val="00815E36"/>
    <w:rsid w:val="008247AF"/>
    <w:rsid w:val="008403CB"/>
    <w:rsid w:val="00853017"/>
    <w:rsid w:val="00871E37"/>
    <w:rsid w:val="00874C8A"/>
    <w:rsid w:val="00876F95"/>
    <w:rsid w:val="00897E0F"/>
    <w:rsid w:val="008A195A"/>
    <w:rsid w:val="008A1A2A"/>
    <w:rsid w:val="008A4642"/>
    <w:rsid w:val="008B7615"/>
    <w:rsid w:val="008D3B5B"/>
    <w:rsid w:val="008D6039"/>
    <w:rsid w:val="008E47BE"/>
    <w:rsid w:val="00907FE8"/>
    <w:rsid w:val="00916D5D"/>
    <w:rsid w:val="00931F79"/>
    <w:rsid w:val="00942587"/>
    <w:rsid w:val="00951545"/>
    <w:rsid w:val="0095270B"/>
    <w:rsid w:val="009547FA"/>
    <w:rsid w:val="00957482"/>
    <w:rsid w:val="00971EBD"/>
    <w:rsid w:val="0098314D"/>
    <w:rsid w:val="0098765B"/>
    <w:rsid w:val="009910B9"/>
    <w:rsid w:val="00991395"/>
    <w:rsid w:val="009A1773"/>
    <w:rsid w:val="009A28BA"/>
    <w:rsid w:val="009A7119"/>
    <w:rsid w:val="009B4DEA"/>
    <w:rsid w:val="009C19FE"/>
    <w:rsid w:val="009C26BB"/>
    <w:rsid w:val="009C7454"/>
    <w:rsid w:val="009D6596"/>
    <w:rsid w:val="009E777E"/>
    <w:rsid w:val="009F3E15"/>
    <w:rsid w:val="009F73CD"/>
    <w:rsid w:val="00A1526F"/>
    <w:rsid w:val="00A17638"/>
    <w:rsid w:val="00A2429F"/>
    <w:rsid w:val="00A312B5"/>
    <w:rsid w:val="00A32530"/>
    <w:rsid w:val="00A555CD"/>
    <w:rsid w:val="00A559EE"/>
    <w:rsid w:val="00A65E1B"/>
    <w:rsid w:val="00A72FDB"/>
    <w:rsid w:val="00A75F1D"/>
    <w:rsid w:val="00A82BA4"/>
    <w:rsid w:val="00AA3579"/>
    <w:rsid w:val="00AB2CBF"/>
    <w:rsid w:val="00AB2E7C"/>
    <w:rsid w:val="00AD3C16"/>
    <w:rsid w:val="00AD58A5"/>
    <w:rsid w:val="00AD5F0C"/>
    <w:rsid w:val="00AE385E"/>
    <w:rsid w:val="00AE41F5"/>
    <w:rsid w:val="00AE7499"/>
    <w:rsid w:val="00AF1955"/>
    <w:rsid w:val="00AF52C9"/>
    <w:rsid w:val="00AF5E1D"/>
    <w:rsid w:val="00B038FC"/>
    <w:rsid w:val="00B064F2"/>
    <w:rsid w:val="00B13B5D"/>
    <w:rsid w:val="00B23B88"/>
    <w:rsid w:val="00B23FB6"/>
    <w:rsid w:val="00B25B7C"/>
    <w:rsid w:val="00B57972"/>
    <w:rsid w:val="00B60A53"/>
    <w:rsid w:val="00B652A0"/>
    <w:rsid w:val="00B66CFE"/>
    <w:rsid w:val="00B76CD9"/>
    <w:rsid w:val="00B771C0"/>
    <w:rsid w:val="00BA29FF"/>
    <w:rsid w:val="00BB6178"/>
    <w:rsid w:val="00BC1B5A"/>
    <w:rsid w:val="00BE290E"/>
    <w:rsid w:val="00BE3F56"/>
    <w:rsid w:val="00C028C1"/>
    <w:rsid w:val="00C04F5D"/>
    <w:rsid w:val="00C10805"/>
    <w:rsid w:val="00C14285"/>
    <w:rsid w:val="00C16674"/>
    <w:rsid w:val="00C16A21"/>
    <w:rsid w:val="00C229CE"/>
    <w:rsid w:val="00C41A8A"/>
    <w:rsid w:val="00C41B4C"/>
    <w:rsid w:val="00C447C0"/>
    <w:rsid w:val="00C4548F"/>
    <w:rsid w:val="00C45D21"/>
    <w:rsid w:val="00C604B6"/>
    <w:rsid w:val="00C608DB"/>
    <w:rsid w:val="00C7038F"/>
    <w:rsid w:val="00C72966"/>
    <w:rsid w:val="00C7598C"/>
    <w:rsid w:val="00C76046"/>
    <w:rsid w:val="00CA0182"/>
    <w:rsid w:val="00CA0B04"/>
    <w:rsid w:val="00CA1BFB"/>
    <w:rsid w:val="00CD1DB8"/>
    <w:rsid w:val="00CE3BFD"/>
    <w:rsid w:val="00CE61A9"/>
    <w:rsid w:val="00CE7D3F"/>
    <w:rsid w:val="00D00BF5"/>
    <w:rsid w:val="00D01914"/>
    <w:rsid w:val="00D07E39"/>
    <w:rsid w:val="00D128EB"/>
    <w:rsid w:val="00D17C6B"/>
    <w:rsid w:val="00D24B9A"/>
    <w:rsid w:val="00D35FDC"/>
    <w:rsid w:val="00D46145"/>
    <w:rsid w:val="00D46D76"/>
    <w:rsid w:val="00D479CD"/>
    <w:rsid w:val="00D56AEC"/>
    <w:rsid w:val="00D7763C"/>
    <w:rsid w:val="00D814B8"/>
    <w:rsid w:val="00D81907"/>
    <w:rsid w:val="00D85164"/>
    <w:rsid w:val="00D9321F"/>
    <w:rsid w:val="00DC10F0"/>
    <w:rsid w:val="00DC20BE"/>
    <w:rsid w:val="00DC3141"/>
    <w:rsid w:val="00DC328A"/>
    <w:rsid w:val="00DC5C69"/>
    <w:rsid w:val="00DD4C3F"/>
    <w:rsid w:val="00DD4DE9"/>
    <w:rsid w:val="00DD5C34"/>
    <w:rsid w:val="00DD6683"/>
    <w:rsid w:val="00DE3BB0"/>
    <w:rsid w:val="00DE4F9E"/>
    <w:rsid w:val="00DF026C"/>
    <w:rsid w:val="00E00624"/>
    <w:rsid w:val="00E04C3E"/>
    <w:rsid w:val="00E205D0"/>
    <w:rsid w:val="00E24AB9"/>
    <w:rsid w:val="00E27E36"/>
    <w:rsid w:val="00E441A7"/>
    <w:rsid w:val="00E46E88"/>
    <w:rsid w:val="00E661AC"/>
    <w:rsid w:val="00E67A35"/>
    <w:rsid w:val="00E7276F"/>
    <w:rsid w:val="00E73659"/>
    <w:rsid w:val="00E73A91"/>
    <w:rsid w:val="00E92894"/>
    <w:rsid w:val="00EA74CF"/>
    <w:rsid w:val="00EB6FC3"/>
    <w:rsid w:val="00ED4210"/>
    <w:rsid w:val="00ED50EB"/>
    <w:rsid w:val="00ED586A"/>
    <w:rsid w:val="00EE5F64"/>
    <w:rsid w:val="00F04CD7"/>
    <w:rsid w:val="00F07381"/>
    <w:rsid w:val="00F2384B"/>
    <w:rsid w:val="00F355AB"/>
    <w:rsid w:val="00F36909"/>
    <w:rsid w:val="00F3722C"/>
    <w:rsid w:val="00F40031"/>
    <w:rsid w:val="00F43D0E"/>
    <w:rsid w:val="00F66939"/>
    <w:rsid w:val="00F9135E"/>
    <w:rsid w:val="00F91461"/>
    <w:rsid w:val="00FA2727"/>
    <w:rsid w:val="00FC5C1C"/>
    <w:rsid w:val="00FC6F4D"/>
    <w:rsid w:val="00FC727A"/>
    <w:rsid w:val="00FE04DC"/>
    <w:rsid w:val="00FE660C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B883"/>
  <w15:docId w15:val="{5291B108-0C09-4381-9397-AAC48855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D5F0C"/>
    <w:rPr>
      <w:color w:val="0000FF"/>
      <w:u w:val="single"/>
    </w:rPr>
  </w:style>
  <w:style w:type="paragraph" w:customStyle="1" w:styleId="Style2">
    <w:name w:val="Style2"/>
    <w:basedOn w:val="a"/>
    <w:uiPriority w:val="99"/>
    <w:rsid w:val="005E75CD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</w:rPr>
  </w:style>
  <w:style w:type="paragraph" w:customStyle="1" w:styleId="a4">
    <w:name w:val="Знак Знак Знак"/>
    <w:basedOn w:val="a"/>
    <w:uiPriority w:val="99"/>
    <w:rsid w:val="005B5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0952E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93749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93749"/>
    <w:rPr>
      <w:rFonts w:ascii="Consolas" w:hAnsi="Consolas"/>
    </w:rPr>
  </w:style>
  <w:style w:type="paragraph" w:customStyle="1" w:styleId="ConsPlusNormal">
    <w:name w:val="ConsPlusNormal"/>
    <w:rsid w:val="00234B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234B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09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26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38EF-5EB8-45DC-8C93-2D3B129D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8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333</cp:revision>
  <dcterms:created xsi:type="dcterms:W3CDTF">2017-07-21T12:12:00Z</dcterms:created>
  <dcterms:modified xsi:type="dcterms:W3CDTF">2020-02-19T09:55:00Z</dcterms:modified>
</cp:coreProperties>
</file>